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F925"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1349D543"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1287367F"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684260BA"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5585C16C"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7"/>
        <w:gridCol w:w="6812"/>
      </w:tblGrid>
      <w:tr w:rsidR="0089215B" w:rsidRPr="0089215B" w14:paraId="1A742C8B" w14:textId="77777777" w:rsidTr="00957911">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07344042" w14:textId="77777777" w:rsidR="0089215B" w:rsidRPr="0089215B" w:rsidRDefault="0089215B" w:rsidP="0089215B">
            <w:pPr>
              <w:tabs>
                <w:tab w:val="left" w:pos="6396"/>
              </w:tabs>
              <w:spacing w:line="276" w:lineRule="auto"/>
              <w:jc w:val="both"/>
              <w:rPr>
                <w:rFonts w:asciiTheme="majorBidi" w:eastAsia="Aptos" w:hAnsiTheme="majorBidi" w:cstheme="majorBidi"/>
                <w:b/>
                <w:bCs/>
                <w:sz w:val="26"/>
                <w:szCs w:val="26"/>
                <w:lang w:val="en-NZ" w:bidi="ar-EG"/>
              </w:rPr>
            </w:pPr>
            <w:r w:rsidRPr="0089215B">
              <w:rPr>
                <w:rFonts w:asciiTheme="majorBidi" w:eastAsia="Aptos" w:hAnsiTheme="majorBidi" w:cstheme="majorBidi"/>
                <w:b/>
                <w:bCs/>
                <w:sz w:val="26"/>
                <w:szCs w:val="26"/>
                <w:lang w:val="en-NZ" w:eastAsia="ar-SA"/>
              </w:rPr>
              <w:t>Research</w:t>
            </w:r>
          </w:p>
          <w:p w14:paraId="7A91DBF2" w14:textId="77777777" w:rsidR="0089215B" w:rsidRPr="0089215B" w:rsidRDefault="0089215B" w:rsidP="0089215B">
            <w:pPr>
              <w:tabs>
                <w:tab w:val="left" w:pos="6396"/>
              </w:tabs>
              <w:spacing w:line="276" w:lineRule="auto"/>
              <w:jc w:val="both"/>
              <w:rPr>
                <w:rFonts w:asciiTheme="majorBidi" w:eastAsia="Aptos" w:hAnsiTheme="majorBidi" w:cstheme="majorBidi"/>
                <w:b/>
                <w:bCs/>
                <w:sz w:val="26"/>
                <w:szCs w:val="26"/>
                <w:rtl/>
                <w:lang w:val="en-NZ" w:bidi="ar-EG"/>
              </w:rPr>
            </w:pPr>
            <w:r w:rsidRPr="0089215B">
              <w:rPr>
                <w:rFonts w:asciiTheme="majorBidi" w:eastAsia="Aptos" w:hAnsiTheme="majorBidi" w:cstheme="majorBidi"/>
                <w:b/>
                <w:bCs/>
                <w:sz w:val="26"/>
                <w:szCs w:val="26"/>
                <w:lang w:val="en-NZ" w:bidi="ar-EG"/>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48AFC70D" w14:textId="77777777" w:rsidR="0089215B" w:rsidRPr="0089215B" w:rsidRDefault="0089215B" w:rsidP="0089215B">
            <w:pPr>
              <w:tabs>
                <w:tab w:val="left" w:pos="6396"/>
              </w:tabs>
              <w:jc w:val="both"/>
              <w:rPr>
                <w:rFonts w:asciiTheme="majorBidi" w:eastAsia="Aptos" w:hAnsiTheme="majorBidi" w:cstheme="majorBidi"/>
                <w:b/>
                <w:bCs/>
                <w:sz w:val="26"/>
                <w:szCs w:val="26"/>
                <w:lang w:val="en-NZ" w:bidi="ar-EG"/>
              </w:rPr>
            </w:pPr>
            <w:r w:rsidRPr="0089215B">
              <w:rPr>
                <w:rFonts w:asciiTheme="majorBidi" w:eastAsia="Aptos" w:hAnsiTheme="majorBidi" w:cstheme="majorBidi"/>
                <w:b/>
                <w:bCs/>
                <w:sz w:val="26"/>
                <w:szCs w:val="26"/>
                <w:lang w:val="en-NZ" w:bidi="ar-EG"/>
              </w:rPr>
              <w:t>Research Number in the Researches List (</w:t>
            </w:r>
            <w:r w:rsidRPr="0089215B">
              <w:rPr>
                <w:rFonts w:asciiTheme="majorBidi" w:eastAsia="Aptos" w:hAnsiTheme="majorBidi" w:cstheme="majorBidi"/>
                <w:b/>
                <w:bCs/>
                <w:sz w:val="26"/>
                <w:szCs w:val="26"/>
                <w:lang w:bidi="ar-EG"/>
              </w:rPr>
              <w:t>7</w:t>
            </w:r>
            <w:r w:rsidRPr="0089215B">
              <w:rPr>
                <w:rFonts w:asciiTheme="majorBidi" w:eastAsia="Aptos" w:hAnsiTheme="majorBidi" w:cstheme="majorBidi"/>
                <w:b/>
                <w:bCs/>
                <w:sz w:val="26"/>
                <w:szCs w:val="26"/>
                <w:lang w:val="en-NZ" w:bidi="ar-EG"/>
              </w:rPr>
              <w:t>)</w:t>
            </w:r>
          </w:p>
        </w:tc>
      </w:tr>
      <w:tr w:rsidR="0089215B" w:rsidRPr="0089215B" w14:paraId="5401EA43" w14:textId="77777777" w:rsidTr="00957911">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75DD9CC5" w14:textId="77777777" w:rsidR="0089215B" w:rsidRPr="0089215B" w:rsidRDefault="0089215B" w:rsidP="0089215B">
            <w:pPr>
              <w:tabs>
                <w:tab w:val="left" w:pos="6396"/>
              </w:tabs>
              <w:spacing w:line="276" w:lineRule="auto"/>
              <w:jc w:val="both"/>
              <w:rPr>
                <w:rFonts w:asciiTheme="majorBidi" w:eastAsia="Aptos" w:hAnsiTheme="majorBidi" w:cstheme="majorBidi"/>
                <w:b/>
                <w:bCs/>
                <w:sz w:val="26"/>
                <w:szCs w:val="26"/>
                <w:lang w:val="en-NZ" w:bidi="ar-EG"/>
              </w:rPr>
            </w:pPr>
            <w:r w:rsidRPr="0089215B">
              <w:rPr>
                <w:rFonts w:asciiTheme="majorBidi" w:eastAsia="Aptos" w:hAnsiTheme="majorBidi" w:cstheme="majorBidi"/>
                <w:b/>
                <w:bCs/>
                <w:sz w:val="26"/>
                <w:szCs w:val="26"/>
                <w:lang w:val="en-NZ" w:eastAsia="ar-SA"/>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51D42E52" w14:textId="77777777" w:rsidR="0089215B" w:rsidRPr="0089215B" w:rsidRDefault="0089215B" w:rsidP="0089215B">
            <w:pPr>
              <w:spacing w:before="100" w:beforeAutospacing="1" w:after="100" w:afterAutospacing="1" w:line="240" w:lineRule="auto"/>
              <w:ind w:left="-86"/>
              <w:contextualSpacing/>
              <w:jc w:val="center"/>
              <w:rPr>
                <w:rFonts w:asciiTheme="majorBidi" w:eastAsia="Times New Roman" w:hAnsiTheme="majorBidi" w:cstheme="majorBidi"/>
                <w:b/>
                <w:bCs/>
                <w:kern w:val="0"/>
                <w:sz w:val="26"/>
                <w:szCs w:val="26"/>
                <w14:ligatures w14:val="none"/>
              </w:rPr>
            </w:pPr>
            <w:r w:rsidRPr="0089215B">
              <w:rPr>
                <w:rFonts w:asciiTheme="majorBidi" w:eastAsiaTheme="minorEastAsia" w:hAnsiTheme="majorBidi" w:cstheme="majorBidi"/>
                <w:b/>
                <w:bCs/>
                <w:kern w:val="0"/>
                <w:sz w:val="26"/>
                <w:szCs w:val="26"/>
                <w14:ligatures w14:val="none"/>
              </w:rPr>
              <w:t>Does ESG Greenwashing Mislead Investors? Empirical Evidence from the Egyptian Stock Exchange (EGX)</w:t>
            </w:r>
          </w:p>
        </w:tc>
      </w:tr>
      <w:tr w:rsidR="0089215B" w:rsidRPr="0089215B" w14:paraId="5081860E" w14:textId="77777777" w:rsidTr="00957911">
        <w:trPr>
          <w:jc w:val="center"/>
        </w:trPr>
        <w:tc>
          <w:tcPr>
            <w:tcW w:w="1218" w:type="dxa"/>
            <w:vMerge w:val="restart"/>
            <w:tcBorders>
              <w:top w:val="single" w:sz="12" w:space="0" w:color="auto"/>
              <w:left w:val="single" w:sz="12" w:space="0" w:color="auto"/>
              <w:right w:val="single" w:sz="12" w:space="0" w:color="auto"/>
            </w:tcBorders>
            <w:vAlign w:val="center"/>
            <w:hideMark/>
          </w:tcPr>
          <w:p w14:paraId="6884EA73" w14:textId="77777777" w:rsidR="0089215B" w:rsidRPr="0089215B" w:rsidRDefault="0089215B" w:rsidP="0089215B">
            <w:pPr>
              <w:tabs>
                <w:tab w:val="left" w:pos="6396"/>
              </w:tabs>
              <w:spacing w:line="276" w:lineRule="auto"/>
              <w:jc w:val="both"/>
              <w:rPr>
                <w:rFonts w:asciiTheme="majorBidi" w:eastAsia="Aptos" w:hAnsiTheme="majorBidi" w:cstheme="majorBidi"/>
                <w:b/>
                <w:bCs/>
                <w:sz w:val="26"/>
                <w:szCs w:val="26"/>
                <w:lang w:val="en-NZ" w:bidi="ar-EG"/>
              </w:rPr>
            </w:pPr>
            <w:r w:rsidRPr="0089215B">
              <w:rPr>
                <w:rFonts w:asciiTheme="majorBidi" w:eastAsia="Aptos" w:hAnsiTheme="majorBidi" w:cstheme="majorBidi"/>
                <w:b/>
                <w:bCs/>
                <w:sz w:val="26"/>
                <w:szCs w:val="26"/>
                <w:lang w:val="en-NZ" w:bidi="ar-EG"/>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4E231D03" w14:textId="77777777" w:rsidR="0089215B" w:rsidRPr="0089215B" w:rsidRDefault="0089215B" w:rsidP="0089215B">
            <w:pPr>
              <w:spacing w:after="200" w:line="276" w:lineRule="auto"/>
              <w:jc w:val="center"/>
              <w:rPr>
                <w:rFonts w:asciiTheme="majorBidi" w:eastAsiaTheme="minorEastAsia" w:hAnsiTheme="majorBidi" w:cstheme="majorBidi"/>
                <w:b/>
                <w:bCs/>
                <w:kern w:val="0"/>
                <w:sz w:val="26"/>
                <w:szCs w:val="26"/>
                <w14:ligatures w14:val="none"/>
              </w:rPr>
            </w:pPr>
            <w:proofErr w:type="spellStart"/>
            <w:proofErr w:type="gramStart"/>
            <w:r w:rsidRPr="0089215B">
              <w:rPr>
                <w:rFonts w:asciiTheme="majorBidi" w:eastAsiaTheme="minorEastAsia" w:hAnsiTheme="majorBidi" w:cstheme="majorBidi"/>
                <w:b/>
                <w:bCs/>
                <w:kern w:val="0"/>
                <w:sz w:val="26"/>
                <w:szCs w:val="26"/>
                <w14:ligatures w14:val="none"/>
              </w:rPr>
              <w:t>Dr.Maha</w:t>
            </w:r>
            <w:proofErr w:type="spellEnd"/>
            <w:proofErr w:type="gramEnd"/>
            <w:r w:rsidRPr="0089215B">
              <w:rPr>
                <w:rFonts w:asciiTheme="majorBidi" w:eastAsiaTheme="minorEastAsia" w:hAnsiTheme="majorBidi" w:cstheme="majorBidi"/>
                <w:b/>
                <w:bCs/>
                <w:kern w:val="0"/>
                <w:sz w:val="26"/>
                <w:szCs w:val="26"/>
                <w14:ligatures w14:val="none"/>
              </w:rPr>
              <w:t xml:space="preserve"> Mohamed Rabei </w:t>
            </w:r>
            <w:proofErr w:type="spellStart"/>
            <w:r w:rsidRPr="0089215B">
              <w:rPr>
                <w:rFonts w:asciiTheme="majorBidi" w:eastAsiaTheme="minorEastAsia" w:hAnsiTheme="majorBidi" w:cstheme="majorBidi"/>
                <w:b/>
                <w:bCs/>
                <w:kern w:val="0"/>
                <w:sz w:val="26"/>
                <w:szCs w:val="26"/>
                <w14:ligatures w14:val="none"/>
              </w:rPr>
              <w:t>Alshafei</w:t>
            </w:r>
            <w:proofErr w:type="spellEnd"/>
          </w:p>
          <w:p w14:paraId="341CD0C3" w14:textId="77777777" w:rsidR="0089215B" w:rsidRPr="0089215B" w:rsidRDefault="0089215B" w:rsidP="0089215B">
            <w:pPr>
              <w:spacing w:after="200" w:line="276" w:lineRule="auto"/>
              <w:jc w:val="center"/>
              <w:rPr>
                <w:rFonts w:asciiTheme="majorBidi" w:eastAsia="Aptos" w:hAnsiTheme="majorBidi" w:cstheme="majorBidi"/>
                <w:b/>
                <w:bCs/>
                <w:sz w:val="26"/>
                <w:szCs w:val="26"/>
                <w:lang w:val="en-NZ"/>
              </w:rPr>
            </w:pPr>
            <w:r w:rsidRPr="0089215B">
              <w:rPr>
                <w:rFonts w:asciiTheme="majorBidi" w:eastAsia="Aptos" w:hAnsiTheme="majorBidi" w:cstheme="majorBidi"/>
                <w:b/>
                <w:bCs/>
                <w:sz w:val="26"/>
                <w:szCs w:val="26"/>
                <w:lang w:val="en-NZ"/>
              </w:rPr>
              <w:t>Lecturer, Accounting Department, Faculty of Commerce, Menoufia University</w:t>
            </w:r>
          </w:p>
        </w:tc>
      </w:tr>
      <w:tr w:rsidR="0089215B" w:rsidRPr="0089215B" w14:paraId="3CA56F85" w14:textId="77777777" w:rsidTr="00957911">
        <w:trPr>
          <w:trHeight w:val="976"/>
          <w:jc w:val="center"/>
        </w:trPr>
        <w:tc>
          <w:tcPr>
            <w:tcW w:w="1218" w:type="dxa"/>
            <w:vMerge/>
            <w:tcBorders>
              <w:left w:val="single" w:sz="12" w:space="0" w:color="auto"/>
              <w:right w:val="single" w:sz="12" w:space="0" w:color="auto"/>
            </w:tcBorders>
            <w:vAlign w:val="center"/>
            <w:hideMark/>
          </w:tcPr>
          <w:p w14:paraId="1400B04A" w14:textId="77777777" w:rsidR="0089215B" w:rsidRPr="0089215B" w:rsidRDefault="0089215B" w:rsidP="0089215B">
            <w:pPr>
              <w:spacing w:line="276" w:lineRule="auto"/>
              <w:jc w:val="both"/>
              <w:rPr>
                <w:rFonts w:asciiTheme="majorBidi" w:eastAsia="Aptos" w:hAnsiTheme="majorBidi" w:cstheme="majorBidi"/>
                <w:b/>
                <w:bCs/>
                <w:sz w:val="26"/>
                <w:szCs w:val="26"/>
                <w:lang w:val="en-NZ" w:bidi="ar-EG"/>
              </w:rPr>
            </w:pPr>
          </w:p>
        </w:tc>
        <w:tc>
          <w:tcPr>
            <w:tcW w:w="6812" w:type="dxa"/>
            <w:tcBorders>
              <w:top w:val="single" w:sz="12" w:space="0" w:color="auto"/>
              <w:left w:val="single" w:sz="12" w:space="0" w:color="auto"/>
              <w:right w:val="single" w:sz="12" w:space="0" w:color="auto"/>
            </w:tcBorders>
            <w:hideMark/>
          </w:tcPr>
          <w:p w14:paraId="7977BB41" w14:textId="77777777" w:rsidR="0089215B" w:rsidRPr="0089215B" w:rsidRDefault="0089215B" w:rsidP="0089215B">
            <w:pPr>
              <w:spacing w:after="200" w:line="276" w:lineRule="auto"/>
              <w:jc w:val="center"/>
              <w:rPr>
                <w:rFonts w:asciiTheme="majorBidi" w:eastAsiaTheme="minorEastAsia" w:hAnsiTheme="majorBidi" w:cstheme="majorBidi"/>
                <w:b/>
                <w:bCs/>
                <w:kern w:val="0"/>
                <w:sz w:val="26"/>
                <w:szCs w:val="26"/>
                <w14:ligatures w14:val="none"/>
              </w:rPr>
            </w:pPr>
            <w:r w:rsidRPr="0089215B">
              <w:rPr>
                <w:rFonts w:asciiTheme="majorBidi" w:eastAsia="Aptos" w:hAnsiTheme="majorBidi" w:cstheme="majorBidi"/>
                <w:b/>
                <w:bCs/>
                <w:sz w:val="26"/>
                <w:szCs w:val="26"/>
                <w:lang w:val="en-NZ"/>
              </w:rPr>
              <w:t>Dr.</w:t>
            </w:r>
            <w:r w:rsidRPr="0089215B">
              <w:rPr>
                <w:rFonts w:asciiTheme="majorBidi" w:eastAsiaTheme="minorEastAsia" w:hAnsiTheme="majorBidi" w:cstheme="majorBidi"/>
                <w:b/>
                <w:bCs/>
                <w:kern w:val="0"/>
                <w:sz w:val="26"/>
                <w:szCs w:val="26"/>
                <w14:ligatures w14:val="none"/>
              </w:rPr>
              <w:t xml:space="preserve"> Ahmed Hamed Mahmoud AbdElhalim</w:t>
            </w:r>
          </w:p>
          <w:p w14:paraId="0157AB8C" w14:textId="77777777" w:rsidR="0089215B" w:rsidRPr="0089215B" w:rsidRDefault="0089215B" w:rsidP="0089215B">
            <w:pPr>
              <w:spacing w:after="200" w:line="276" w:lineRule="auto"/>
              <w:jc w:val="center"/>
              <w:rPr>
                <w:rFonts w:asciiTheme="majorBidi" w:eastAsia="Aptos" w:hAnsiTheme="majorBidi" w:cstheme="majorBidi"/>
                <w:b/>
                <w:bCs/>
                <w:sz w:val="26"/>
                <w:szCs w:val="26"/>
                <w:lang w:val="en-NZ"/>
              </w:rPr>
            </w:pPr>
            <w:r w:rsidRPr="0089215B">
              <w:rPr>
                <w:rFonts w:asciiTheme="majorBidi" w:eastAsia="Aptos" w:hAnsiTheme="majorBidi" w:cstheme="majorBidi"/>
                <w:b/>
                <w:bCs/>
                <w:sz w:val="26"/>
                <w:szCs w:val="26"/>
                <w:lang w:val="en-NZ"/>
              </w:rPr>
              <w:t>Professor of Accounting, Faculty of Commerce,</w:t>
            </w:r>
          </w:p>
          <w:p w14:paraId="1B5CC1F3" w14:textId="77777777" w:rsidR="0089215B" w:rsidRPr="0089215B" w:rsidRDefault="0089215B" w:rsidP="0089215B">
            <w:pPr>
              <w:spacing w:after="200" w:line="276" w:lineRule="auto"/>
              <w:jc w:val="center"/>
              <w:rPr>
                <w:rFonts w:asciiTheme="majorBidi" w:eastAsia="Aptos" w:hAnsiTheme="majorBidi" w:cstheme="majorBidi"/>
                <w:b/>
                <w:bCs/>
                <w:sz w:val="26"/>
                <w:szCs w:val="26"/>
                <w:lang w:val="en-NZ"/>
              </w:rPr>
            </w:pPr>
            <w:proofErr w:type="spellStart"/>
            <w:r w:rsidRPr="0089215B">
              <w:rPr>
                <w:rFonts w:asciiTheme="majorBidi" w:eastAsia="Aptos" w:hAnsiTheme="majorBidi" w:cstheme="majorBidi"/>
                <w:b/>
                <w:bCs/>
                <w:sz w:val="26"/>
                <w:szCs w:val="26"/>
                <w:lang w:val="en-NZ"/>
              </w:rPr>
              <w:t>Benha</w:t>
            </w:r>
            <w:proofErr w:type="spellEnd"/>
            <w:r w:rsidRPr="0089215B">
              <w:rPr>
                <w:rFonts w:asciiTheme="majorBidi" w:eastAsia="Aptos" w:hAnsiTheme="majorBidi" w:cstheme="majorBidi"/>
                <w:b/>
                <w:bCs/>
                <w:sz w:val="26"/>
                <w:szCs w:val="26"/>
                <w:lang w:val="en-NZ"/>
              </w:rPr>
              <w:t xml:space="preserve"> University</w:t>
            </w:r>
          </w:p>
          <w:p w14:paraId="50894192" w14:textId="77777777" w:rsidR="0089215B" w:rsidRPr="0089215B" w:rsidRDefault="0089215B" w:rsidP="0089215B">
            <w:pPr>
              <w:spacing w:before="100" w:beforeAutospacing="1" w:after="100" w:afterAutospacing="1" w:line="240" w:lineRule="auto"/>
              <w:jc w:val="center"/>
              <w:rPr>
                <w:rFonts w:asciiTheme="majorBidi" w:eastAsia="Times New Roman" w:hAnsiTheme="majorBidi" w:cstheme="majorBidi"/>
                <w:b/>
                <w:bCs/>
                <w:kern w:val="0"/>
                <w:sz w:val="26"/>
                <w:szCs w:val="26"/>
                <w:lang w:val="en-NZ"/>
                <w14:ligatures w14:val="none"/>
              </w:rPr>
            </w:pPr>
          </w:p>
        </w:tc>
      </w:tr>
      <w:tr w:rsidR="0089215B" w:rsidRPr="0089215B" w14:paraId="1B2C2969" w14:textId="77777777" w:rsidTr="00957911">
        <w:trPr>
          <w:trHeight w:val="976"/>
          <w:jc w:val="center"/>
        </w:trPr>
        <w:tc>
          <w:tcPr>
            <w:tcW w:w="1218" w:type="dxa"/>
            <w:vMerge/>
            <w:tcBorders>
              <w:left w:val="single" w:sz="12" w:space="0" w:color="auto"/>
              <w:bottom w:val="single" w:sz="12" w:space="0" w:color="auto"/>
              <w:right w:val="single" w:sz="12" w:space="0" w:color="auto"/>
            </w:tcBorders>
            <w:vAlign w:val="center"/>
          </w:tcPr>
          <w:p w14:paraId="31B40BA5" w14:textId="77777777" w:rsidR="0089215B" w:rsidRPr="0089215B" w:rsidRDefault="0089215B" w:rsidP="0089215B">
            <w:pPr>
              <w:spacing w:line="276" w:lineRule="auto"/>
              <w:jc w:val="both"/>
              <w:rPr>
                <w:rFonts w:asciiTheme="majorBidi" w:eastAsia="Aptos" w:hAnsiTheme="majorBidi" w:cstheme="majorBidi"/>
                <w:b/>
                <w:bCs/>
                <w:sz w:val="26"/>
                <w:szCs w:val="26"/>
                <w:lang w:val="en-NZ" w:bidi="ar-EG"/>
              </w:rPr>
            </w:pPr>
          </w:p>
        </w:tc>
        <w:tc>
          <w:tcPr>
            <w:tcW w:w="6812" w:type="dxa"/>
            <w:tcBorders>
              <w:top w:val="single" w:sz="12" w:space="0" w:color="auto"/>
              <w:left w:val="single" w:sz="12" w:space="0" w:color="auto"/>
              <w:right w:val="single" w:sz="12" w:space="0" w:color="auto"/>
            </w:tcBorders>
          </w:tcPr>
          <w:p w14:paraId="632F99F9" w14:textId="77777777" w:rsidR="0089215B" w:rsidRPr="0089215B" w:rsidRDefault="0089215B" w:rsidP="0089215B">
            <w:pPr>
              <w:spacing w:after="200" w:line="276" w:lineRule="auto"/>
              <w:jc w:val="center"/>
              <w:rPr>
                <w:rFonts w:asciiTheme="majorBidi" w:eastAsiaTheme="minorEastAsia" w:hAnsiTheme="majorBidi" w:cstheme="majorBidi"/>
                <w:b/>
                <w:bCs/>
                <w:kern w:val="0"/>
                <w:sz w:val="26"/>
                <w:szCs w:val="26"/>
                <w14:ligatures w14:val="none"/>
              </w:rPr>
            </w:pPr>
            <w:r w:rsidRPr="0089215B">
              <w:rPr>
                <w:rFonts w:asciiTheme="majorBidi" w:eastAsia="Aptos" w:hAnsiTheme="majorBidi" w:cstheme="majorBidi"/>
                <w:b/>
                <w:bCs/>
                <w:sz w:val="26"/>
                <w:szCs w:val="26"/>
                <w:lang w:val="en-NZ"/>
              </w:rPr>
              <w:t xml:space="preserve">Dr. </w:t>
            </w:r>
            <w:r w:rsidRPr="0089215B">
              <w:rPr>
                <w:rFonts w:asciiTheme="majorBidi" w:eastAsiaTheme="minorEastAsia" w:hAnsiTheme="majorBidi" w:cstheme="majorBidi"/>
                <w:b/>
                <w:bCs/>
                <w:kern w:val="0"/>
                <w:sz w:val="26"/>
                <w:szCs w:val="26"/>
                <w14:ligatures w14:val="none"/>
              </w:rPr>
              <w:t>Shereen Shawky Elsayed Elmallah</w:t>
            </w:r>
          </w:p>
          <w:p w14:paraId="3432C7EA" w14:textId="77777777" w:rsidR="0089215B" w:rsidRPr="0089215B" w:rsidRDefault="0089215B" w:rsidP="0089215B">
            <w:pPr>
              <w:spacing w:line="276" w:lineRule="auto"/>
              <w:jc w:val="center"/>
              <w:rPr>
                <w:rFonts w:asciiTheme="majorBidi" w:eastAsia="Aptos" w:hAnsiTheme="majorBidi" w:cstheme="majorBidi"/>
                <w:b/>
                <w:bCs/>
                <w:sz w:val="26"/>
                <w:szCs w:val="26"/>
                <w:lang w:val="en-NZ"/>
              </w:rPr>
            </w:pPr>
            <w:r w:rsidRPr="0089215B">
              <w:rPr>
                <w:rFonts w:asciiTheme="majorBidi" w:eastAsia="Aptos" w:hAnsiTheme="majorBidi" w:cstheme="majorBidi"/>
                <w:b/>
                <w:bCs/>
                <w:sz w:val="26"/>
                <w:szCs w:val="26"/>
                <w:lang w:val="en-NZ"/>
              </w:rPr>
              <w:t xml:space="preserve">Assistant Professor of Accounting and Auditing, Faculty of Commerce, </w:t>
            </w:r>
            <w:proofErr w:type="spellStart"/>
            <w:r w:rsidRPr="0089215B">
              <w:rPr>
                <w:rFonts w:asciiTheme="majorBidi" w:eastAsia="Aptos" w:hAnsiTheme="majorBidi" w:cstheme="majorBidi"/>
                <w:b/>
                <w:bCs/>
                <w:sz w:val="26"/>
                <w:szCs w:val="26"/>
                <w:lang w:val="en-NZ"/>
              </w:rPr>
              <w:t>Benha</w:t>
            </w:r>
            <w:proofErr w:type="spellEnd"/>
            <w:r w:rsidRPr="0089215B">
              <w:rPr>
                <w:rFonts w:asciiTheme="majorBidi" w:eastAsia="Aptos" w:hAnsiTheme="majorBidi" w:cstheme="majorBidi"/>
                <w:b/>
                <w:bCs/>
                <w:sz w:val="26"/>
                <w:szCs w:val="26"/>
                <w:lang w:val="en-NZ"/>
              </w:rPr>
              <w:t xml:space="preserve"> University</w:t>
            </w:r>
          </w:p>
        </w:tc>
      </w:tr>
      <w:tr w:rsidR="0089215B" w:rsidRPr="0089215B" w14:paraId="3D03C86E" w14:textId="77777777" w:rsidTr="00957911">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083D6CFA" w14:textId="77777777" w:rsidR="0089215B" w:rsidRPr="0089215B" w:rsidRDefault="0089215B" w:rsidP="0089215B">
            <w:pPr>
              <w:tabs>
                <w:tab w:val="left" w:pos="6396"/>
              </w:tabs>
              <w:spacing w:line="276" w:lineRule="auto"/>
              <w:jc w:val="both"/>
              <w:rPr>
                <w:rFonts w:asciiTheme="majorBidi" w:eastAsia="Aptos" w:hAnsiTheme="majorBidi" w:cstheme="majorBidi"/>
                <w:b/>
                <w:bCs/>
                <w:sz w:val="26"/>
                <w:szCs w:val="26"/>
                <w:lang w:val="en-NZ" w:bidi="ar-EG"/>
              </w:rPr>
            </w:pPr>
            <w:r w:rsidRPr="0089215B">
              <w:rPr>
                <w:rFonts w:asciiTheme="majorBidi" w:eastAsia="Aptos" w:hAnsiTheme="majorBidi" w:cstheme="majorBidi"/>
                <w:b/>
                <w:bCs/>
                <w:sz w:val="26"/>
                <w:szCs w:val="26"/>
                <w:lang w:val="en-NZ" w:bidi="ar-EG"/>
              </w:rPr>
              <w:t>Journal</w:t>
            </w:r>
          </w:p>
        </w:tc>
        <w:tc>
          <w:tcPr>
            <w:tcW w:w="6812" w:type="dxa"/>
            <w:tcBorders>
              <w:top w:val="single" w:sz="12" w:space="0" w:color="auto"/>
              <w:left w:val="single" w:sz="12" w:space="0" w:color="auto"/>
              <w:bottom w:val="single" w:sz="12" w:space="0" w:color="auto"/>
              <w:right w:val="single" w:sz="12" w:space="0" w:color="auto"/>
            </w:tcBorders>
            <w:hideMark/>
          </w:tcPr>
          <w:p w14:paraId="378A5F67" w14:textId="77777777" w:rsidR="0089215B" w:rsidRPr="0089215B" w:rsidRDefault="0089215B" w:rsidP="0089215B">
            <w:pPr>
              <w:tabs>
                <w:tab w:val="left" w:pos="6396"/>
              </w:tabs>
              <w:rPr>
                <w:rFonts w:asciiTheme="majorBidi" w:eastAsia="Aptos" w:hAnsiTheme="majorBidi" w:cstheme="majorBidi"/>
                <w:b/>
                <w:bCs/>
                <w:sz w:val="26"/>
                <w:szCs w:val="26"/>
                <w:lang w:val="en-NZ"/>
              </w:rPr>
            </w:pPr>
            <w:r w:rsidRPr="0089215B">
              <w:rPr>
                <w:rFonts w:asciiTheme="majorBidi" w:eastAsia="Aptos" w:hAnsiTheme="majorBidi" w:cstheme="majorBidi"/>
                <w:b/>
                <w:bCs/>
                <w:sz w:val="26"/>
                <w:szCs w:val="26"/>
                <w:lang w:val="en-NZ" w:bidi="ar-EG"/>
              </w:rPr>
              <w:t xml:space="preserve">The Scientific Journal of Commercial Research, Faculty of Commerce, Menoufia University, </w:t>
            </w:r>
            <w:r w:rsidRPr="0089215B">
              <w:rPr>
                <w:rFonts w:asciiTheme="majorBidi" w:eastAsia="Times New Roman" w:hAnsiTheme="majorBidi" w:cstheme="majorBidi"/>
                <w:b/>
                <w:bCs/>
                <w:kern w:val="0"/>
                <w:sz w:val="26"/>
                <w:szCs w:val="26"/>
                <w14:ligatures w14:val="none"/>
              </w:rPr>
              <w:t>June 2026.</w:t>
            </w:r>
          </w:p>
          <w:p w14:paraId="527ACF2E" w14:textId="77777777" w:rsidR="0089215B" w:rsidRPr="0089215B" w:rsidRDefault="0089215B" w:rsidP="0089215B">
            <w:pPr>
              <w:tabs>
                <w:tab w:val="left" w:pos="6396"/>
              </w:tabs>
              <w:jc w:val="both"/>
              <w:rPr>
                <w:rFonts w:asciiTheme="majorBidi" w:eastAsia="Aptos" w:hAnsiTheme="majorBidi" w:cstheme="majorBidi"/>
                <w:b/>
                <w:bCs/>
                <w:sz w:val="26"/>
                <w:szCs w:val="26"/>
                <w:lang w:val="en-NZ" w:bidi="ar-EG"/>
              </w:rPr>
            </w:pPr>
          </w:p>
          <w:p w14:paraId="4C6AEC9B" w14:textId="77777777" w:rsidR="0089215B" w:rsidRPr="0089215B" w:rsidRDefault="0089215B" w:rsidP="0089215B">
            <w:pPr>
              <w:tabs>
                <w:tab w:val="left" w:pos="6396"/>
              </w:tabs>
              <w:jc w:val="both"/>
              <w:rPr>
                <w:rFonts w:asciiTheme="majorBidi" w:eastAsia="Aptos" w:hAnsiTheme="majorBidi" w:cstheme="majorBidi"/>
                <w:b/>
                <w:bCs/>
                <w:sz w:val="26"/>
                <w:szCs w:val="26"/>
                <w:lang w:val="en-NZ" w:bidi="ar-EG"/>
              </w:rPr>
            </w:pPr>
          </w:p>
        </w:tc>
      </w:tr>
    </w:tbl>
    <w:p w14:paraId="075A1DC3"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val="en-NZ" w:bidi="ar-EG"/>
          <w14:ligatures w14:val="none"/>
        </w:rPr>
      </w:pPr>
    </w:p>
    <w:p w14:paraId="273466EE"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205D8EEE"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40410B77"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1A61A741"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2F5A25FB"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306FDEF5"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4EC92F80"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17301AD1"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rtl/>
          <w:lang w:bidi="ar-EG"/>
          <w14:ligatures w14:val="none"/>
        </w:rPr>
      </w:pPr>
    </w:p>
    <w:p w14:paraId="5C66493A"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b/>
          <w:bCs/>
          <w:kern w:val="0"/>
          <w:sz w:val="28"/>
          <w:szCs w:val="28"/>
          <w14:ligatures w14:val="none"/>
        </w:rPr>
      </w:pPr>
      <w:r w:rsidRPr="0089215B">
        <w:rPr>
          <w:rFonts w:asciiTheme="majorBidi" w:eastAsiaTheme="minorEastAsia" w:hAnsiTheme="majorBidi" w:cstheme="majorBidi"/>
          <w:b/>
          <w:bCs/>
          <w:kern w:val="0"/>
          <w:sz w:val="28"/>
          <w:szCs w:val="28"/>
          <w14:ligatures w14:val="none"/>
        </w:rPr>
        <w:lastRenderedPageBreak/>
        <w:t>I</w:t>
      </w:r>
      <w:r w:rsidRPr="0089215B">
        <w:rPr>
          <w:rFonts w:asciiTheme="majorBidi" w:eastAsia="Times New Roman" w:hAnsiTheme="majorBidi" w:cstheme="majorBidi"/>
          <w:b/>
          <w:bCs/>
          <w:kern w:val="0"/>
          <w:sz w:val="28"/>
          <w:szCs w:val="28"/>
          <w14:ligatures w14:val="none"/>
        </w:rPr>
        <w:t>ntroduction and research Problem</w:t>
      </w:r>
      <w:r w:rsidRPr="0089215B">
        <w:rPr>
          <w:rFonts w:asciiTheme="majorBidi" w:eastAsia="Times New Roman" w:hAnsiTheme="majorBidi" w:cstheme="majorBidi" w:hint="cs"/>
          <w:b/>
          <w:bCs/>
          <w:kern w:val="0"/>
          <w:sz w:val="28"/>
          <w:szCs w:val="28"/>
          <w:rtl/>
          <w14:ligatures w14:val="none"/>
        </w:rPr>
        <w:t>:</w:t>
      </w:r>
    </w:p>
    <w:p w14:paraId="5B142304"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In recent years, Environmental, Social, and Governance (ESG) reporting has evolved from a voluntary initiative into a fundamental component of corporate accountability and investment evaluation. As global awareness of sustainability and climate-related risks grows, investors increasingly rely on ESG disclosures to assess firms’ ethical standards, environmental stewardship, and governance effectiveness. Integrating ESG factors into financial decision-making aims to enhance transparency, reduce information asymmetry, and align corporate objectives with the broader goals of sustainable development (Giese et al., 2019; Li et al., 2018).</w:t>
      </w:r>
    </w:p>
    <w:p w14:paraId="2E902E57"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Despite growing interest, concerns have intensified regarding the credibility and comparability of ESG information, particularly in emerging economies where institutional mechanisms for verification and enforcement are limited (</w:t>
      </w:r>
      <w:proofErr w:type="spellStart"/>
      <w:r w:rsidRPr="0089215B">
        <w:rPr>
          <w:rFonts w:asciiTheme="majorBidi" w:eastAsia="Times New Roman" w:hAnsiTheme="majorBidi" w:cstheme="majorBidi"/>
          <w:kern w:val="0"/>
          <w:sz w:val="26"/>
          <w:szCs w:val="26"/>
          <w14:ligatures w14:val="none"/>
        </w:rPr>
        <w:t>Benuzzi</w:t>
      </w:r>
      <w:proofErr w:type="spellEnd"/>
      <w:r w:rsidRPr="0089215B">
        <w:rPr>
          <w:rFonts w:asciiTheme="majorBidi" w:eastAsia="Times New Roman" w:hAnsiTheme="majorBidi" w:cstheme="majorBidi"/>
          <w:kern w:val="0"/>
          <w:sz w:val="26"/>
          <w:szCs w:val="26"/>
          <w14:ligatures w14:val="none"/>
        </w:rPr>
        <w:t xml:space="preserve"> et al., 2023; Kathan et al., 2025). A key challenge is the phenomenon of </w:t>
      </w:r>
      <w:r w:rsidRPr="0089215B">
        <w:rPr>
          <w:rFonts w:asciiTheme="majorBidi" w:eastAsia="Times New Roman" w:hAnsiTheme="majorBidi" w:cstheme="majorBidi"/>
          <w:b/>
          <w:bCs/>
          <w:kern w:val="0"/>
          <w:sz w:val="26"/>
          <w:szCs w:val="26"/>
          <w14:ligatures w14:val="none"/>
        </w:rPr>
        <w:t>greenwashing</w:t>
      </w:r>
      <w:r w:rsidRPr="0089215B">
        <w:rPr>
          <w:rFonts w:asciiTheme="majorBidi" w:eastAsia="Times New Roman" w:hAnsiTheme="majorBidi" w:cstheme="majorBidi"/>
          <w:kern w:val="0"/>
          <w:sz w:val="26"/>
          <w:szCs w:val="26"/>
          <w14:ligatures w14:val="none"/>
        </w:rPr>
        <w:t>, in which firms exaggerate, embellish, or selectively disclose ESG achievements to appear more responsible than they are. Such practices undermine the informational value of ESG disclosures, weaken market confidence, and mislead investors (Delmas &amp; Burbano, 2011; Lyon &amp; Montgomery, 2015; Walker &amp; Wan, 2012).</w:t>
      </w:r>
    </w:p>
    <w:p w14:paraId="6C4E89EF"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 xml:space="preserve">This problem is particularly pronounced in emerging markets, where companies may adopt ESG reporting to satisfy external legitimacy pressures or attract international investors, rather than to demonstrate genuine sustainability commitment (Marquis et al., 2016; </w:t>
      </w:r>
      <w:proofErr w:type="spellStart"/>
      <w:r w:rsidRPr="0089215B">
        <w:rPr>
          <w:rFonts w:asciiTheme="majorBidi" w:eastAsia="Times New Roman" w:hAnsiTheme="majorBidi" w:cstheme="majorBidi"/>
          <w:kern w:val="0"/>
          <w:sz w:val="26"/>
          <w:szCs w:val="26"/>
          <w14:ligatures w14:val="none"/>
        </w:rPr>
        <w:t>Dempere</w:t>
      </w:r>
      <w:proofErr w:type="spellEnd"/>
      <w:r w:rsidRPr="0089215B">
        <w:rPr>
          <w:rFonts w:asciiTheme="majorBidi" w:eastAsia="Times New Roman" w:hAnsiTheme="majorBidi" w:cstheme="majorBidi"/>
          <w:kern w:val="0"/>
          <w:sz w:val="26"/>
          <w:szCs w:val="26"/>
          <w14:ligatures w14:val="none"/>
        </w:rPr>
        <w:t xml:space="preserve"> et al., 2024). Consequently, investors face difficulties distinguishing between authentic and opportunistic ESG communication, potentially leading to misallocation of capital and erosion of trust (Xu et al., 2024; Liu, 2025).</w:t>
      </w:r>
    </w:p>
    <w:p w14:paraId="1C0E76DC"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In Egypt, the Financial Regulatory Authority (FRA) has recently mandated sustainability and ESG reporting for listed and non-bank financial institutions (FRA, 2022). Nevertheless, most disclosures remain narrative and unverified, focusing on social and community initiatives rather than measurable environmental or governance indicators (World Bank, 2023). This raises an essential question: does ESG information in Egypt genuinely inform investors, or does it mainly serve as a signaling device for legitimacy and reputation?</w:t>
      </w:r>
    </w:p>
    <w:p w14:paraId="71F29216"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 xml:space="preserve">Accordingly, the current study seeks to examine whether ESG greenwashing—measured through selective disclosure, expressive manipulation, and overall greenwashing level—misleads investors in the Egyptian capital market. By analyzing how these dimensions of </w:t>
      </w:r>
      <w:r w:rsidRPr="0089215B">
        <w:rPr>
          <w:rFonts w:asciiTheme="majorBidi" w:eastAsia="Times New Roman" w:hAnsiTheme="majorBidi" w:cstheme="majorBidi"/>
          <w:kern w:val="0"/>
          <w:sz w:val="26"/>
          <w:szCs w:val="26"/>
          <w14:ligatures w14:val="none"/>
        </w:rPr>
        <w:lastRenderedPageBreak/>
        <w:t>greenwashing affect investor decisions, this research aims to contribute to the limited empirical evidence from emerging economies and provide practical insights for regulators, investors, and corporate managers. It also extends the literature on ESG disclosure quality by highlighting the consequences of informational bias in sustainability reporting on market trust and value relevance.</w:t>
      </w:r>
    </w:p>
    <w:p w14:paraId="01DB50BB" w14:textId="77777777" w:rsidR="0089215B" w:rsidRPr="0089215B" w:rsidRDefault="0089215B" w:rsidP="0089215B">
      <w:pPr>
        <w:spacing w:before="100" w:beforeAutospacing="1" w:after="100" w:afterAutospacing="1" w:line="276" w:lineRule="auto"/>
        <w:jc w:val="both"/>
        <w:rPr>
          <w:rFonts w:asciiTheme="majorBidi" w:eastAsiaTheme="minorEastAsia"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Research Limitations</w:t>
      </w:r>
      <w:r w:rsidRPr="0089215B">
        <w:rPr>
          <w:rFonts w:asciiTheme="majorBidi" w:eastAsia="Times New Roman" w:hAnsiTheme="majorBidi" w:cstheme="majorBidi" w:hint="cs"/>
          <w:b/>
          <w:bCs/>
          <w:kern w:val="0"/>
          <w:sz w:val="26"/>
          <w:szCs w:val="26"/>
          <w:rtl/>
          <w14:ligatures w14:val="none"/>
        </w:rPr>
        <w:t>:</w:t>
      </w:r>
    </w:p>
    <w:p w14:paraId="55B4B76D"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This study focuses on non-financial companies listed on the Egyptian Stock Exchange and examines ESG disclosures available during the period 2022–2024. Greenwashing is measured using a combination of textual analysis of corporate disclosures and data obtained from Refinitiv. To assess the relationship between ESG practices and market outcomes, the study employs the Ohlson (1995) value relevance model, providing a robust framework to evaluate the informational content of corporate sustainability reporting.</w:t>
      </w:r>
    </w:p>
    <w:p w14:paraId="10EDB1DC" w14:textId="77777777" w:rsidR="0089215B" w:rsidRPr="0089215B" w:rsidRDefault="0089215B" w:rsidP="0089215B">
      <w:pPr>
        <w:keepNext/>
        <w:keepLines/>
        <w:spacing w:before="160" w:after="80" w:line="276" w:lineRule="auto"/>
        <w:outlineLvl w:val="1"/>
        <w:rPr>
          <w:rFonts w:asciiTheme="majorBidi" w:eastAsia="Times New Roman" w:hAnsiTheme="majorBidi" w:cstheme="majorBidi"/>
          <w:b/>
          <w:bCs/>
          <w:kern w:val="0"/>
          <w:sz w:val="28"/>
          <w:szCs w:val="28"/>
          <w14:ligatures w14:val="none"/>
        </w:rPr>
      </w:pPr>
      <w:r w:rsidRPr="0089215B">
        <w:rPr>
          <w:rFonts w:asciiTheme="majorBidi" w:eastAsia="Times New Roman" w:hAnsiTheme="majorBidi" w:cstheme="majorBidi"/>
          <w:b/>
          <w:bCs/>
          <w:kern w:val="0"/>
          <w:sz w:val="28"/>
          <w:szCs w:val="28"/>
          <w14:ligatures w14:val="none"/>
        </w:rPr>
        <w:t>Research Hypotheses</w:t>
      </w:r>
      <w:r w:rsidRPr="0089215B">
        <w:rPr>
          <w:rFonts w:asciiTheme="majorBidi" w:eastAsia="Times New Roman" w:hAnsiTheme="majorBidi" w:cstheme="majorBidi" w:hint="cs"/>
          <w:b/>
          <w:bCs/>
          <w:kern w:val="0"/>
          <w:sz w:val="28"/>
          <w:szCs w:val="28"/>
          <w:rtl/>
          <w14:ligatures w14:val="none"/>
        </w:rPr>
        <w:t>:</w:t>
      </w:r>
    </w:p>
    <w:p w14:paraId="09CD0690"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H1: There is a significant negative impact of ESG selective disclosure on investor decisions.</w:t>
      </w:r>
    </w:p>
    <w:p w14:paraId="19817A49"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H2: There is a significant negative impact of ESG expressive manipulation (GWLE) on investor decisions.</w:t>
      </w:r>
    </w:p>
    <w:p w14:paraId="173D104C"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H3: There is a significant negative impact of the overall ESG greenwashing level (GWL) on investor decisions.</w:t>
      </w:r>
    </w:p>
    <w:p w14:paraId="1CA6FBEB"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8"/>
          <w:szCs w:val="28"/>
          <w14:ligatures w14:val="none"/>
        </w:rPr>
      </w:pPr>
      <w:r w:rsidRPr="0089215B">
        <w:rPr>
          <w:rFonts w:asciiTheme="majorBidi" w:eastAsiaTheme="minorEastAsia" w:hAnsiTheme="majorBidi" w:cstheme="majorBidi"/>
          <w:kern w:val="0"/>
          <w:sz w:val="26"/>
          <w:szCs w:val="26"/>
          <w14:ligatures w14:val="none"/>
        </w:rPr>
        <w:t xml:space="preserve"> </w:t>
      </w:r>
      <w:r w:rsidRPr="0089215B">
        <w:rPr>
          <w:rFonts w:asciiTheme="majorBidi" w:eastAsia="Times New Roman" w:hAnsiTheme="majorBidi" w:cstheme="majorBidi"/>
          <w:b/>
          <w:bCs/>
          <w:kern w:val="0"/>
          <w:sz w:val="28"/>
          <w:szCs w:val="28"/>
          <w14:ligatures w14:val="none"/>
        </w:rPr>
        <w:t>Research Findings</w:t>
      </w:r>
      <w:r w:rsidRPr="0089215B">
        <w:rPr>
          <w:rFonts w:asciiTheme="majorBidi" w:eastAsia="Times New Roman" w:hAnsiTheme="majorBidi" w:cstheme="majorBidi" w:hint="cs"/>
          <w:b/>
          <w:bCs/>
          <w:kern w:val="0"/>
          <w:sz w:val="28"/>
          <w:szCs w:val="28"/>
          <w:rtl/>
          <w14:ligatures w14:val="none"/>
        </w:rPr>
        <w:t>:</w:t>
      </w:r>
    </w:p>
    <w:p w14:paraId="4D1B24B6"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The research examined whether ESG greenwashing practices specifically selective disclosure and expressive manipulation mislead investors and influence their decision-making in the Egyptian capital market. Using a sample of 180 firm-year observations from EGX-listed companies and employing Ohlson’s (1995) value relevance model, the research tested the effect of three greenwashing dimensions (GWLS, GWLE, and Overall aggregated GWL) on investors’ decisions measured through stock price, earnings per share (EPS), and book value per share (BVPS).</w:t>
      </w:r>
    </w:p>
    <w:p w14:paraId="255C38C1"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 xml:space="preserve">The empirical evidence suggests that higher ESG scores are positively associated with apparent performance but negatively associated with real performance, implying that firms with strong ESG ratings may not necessarily exhibit superior environmental outcomes. </w:t>
      </w:r>
      <w:r w:rsidRPr="0089215B">
        <w:rPr>
          <w:rFonts w:asciiTheme="majorBidi" w:eastAsia="Times New Roman" w:hAnsiTheme="majorBidi" w:cstheme="majorBidi"/>
          <w:kern w:val="0"/>
          <w:sz w:val="26"/>
          <w:szCs w:val="26"/>
          <w14:ligatures w14:val="none"/>
        </w:rPr>
        <w:lastRenderedPageBreak/>
        <w:t>These findings provide important implications for investors, as reliance on ESG scores alone may lead to increased exposure to greenwashing risk rather than enhanced investment security. Within the Egyptian setting, these results raise the expectation that ESG disclosures may be informative for shaping investor perceptions, yet insufficient to guarantee decision-useful insights unless complemented by robust assurance mechanisms and greater analyst scrutiny.</w:t>
      </w:r>
    </w:p>
    <w:p w14:paraId="5DFA0766"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The current research findings confirm that greenwashing practices undermine the decision-usefulness of ESG disclosures in the Egyptian market. While ESG reporting is designed to enhance transparency and signal long-term value creation, misleading disclosure weakens investor trust and reduces the value relevance of accounting information. Investors do not reward ESG communication when it lacks credibility; instead, they penalize it through lower valuation responses. This finding is supported by prior evidence showing that ESG ratings often rely on disclosure quality rather than underlying environmental performance (Berg et al., 2022; Chatterji et al., 2016; Kathan et al., 2025). In developing markets such as Egypt, regulatory monitoring and assurance mechanisms are still emerging, which increases the likelihood of symbolic ESG reporting (</w:t>
      </w:r>
      <w:proofErr w:type="spellStart"/>
      <w:r w:rsidRPr="0089215B">
        <w:rPr>
          <w:rFonts w:asciiTheme="majorBidi" w:eastAsia="Times New Roman" w:hAnsiTheme="majorBidi" w:cstheme="majorBidi"/>
          <w:kern w:val="0"/>
          <w:sz w:val="26"/>
          <w:szCs w:val="26"/>
          <w14:ligatures w14:val="none"/>
        </w:rPr>
        <w:t>Pimonenko</w:t>
      </w:r>
      <w:proofErr w:type="spellEnd"/>
      <w:r w:rsidRPr="0089215B">
        <w:rPr>
          <w:rFonts w:asciiTheme="majorBidi" w:eastAsia="Times New Roman" w:hAnsiTheme="majorBidi" w:cstheme="majorBidi"/>
          <w:kern w:val="0"/>
          <w:sz w:val="26"/>
          <w:szCs w:val="26"/>
          <w14:ligatures w14:val="none"/>
        </w:rPr>
        <w:t xml:space="preserve"> et al., 2020; </w:t>
      </w:r>
      <w:proofErr w:type="spellStart"/>
      <w:r w:rsidRPr="0089215B">
        <w:rPr>
          <w:rFonts w:asciiTheme="majorBidi" w:eastAsia="Times New Roman" w:hAnsiTheme="majorBidi" w:cstheme="majorBidi"/>
          <w:kern w:val="0"/>
          <w:sz w:val="26"/>
          <w:szCs w:val="26"/>
          <w14:ligatures w14:val="none"/>
        </w:rPr>
        <w:t>Dempere</w:t>
      </w:r>
      <w:proofErr w:type="spellEnd"/>
      <w:r w:rsidRPr="0089215B">
        <w:rPr>
          <w:rFonts w:asciiTheme="majorBidi" w:eastAsia="Times New Roman" w:hAnsiTheme="majorBidi" w:cstheme="majorBidi"/>
          <w:kern w:val="0"/>
          <w:sz w:val="26"/>
          <w:szCs w:val="26"/>
          <w14:ligatures w14:val="none"/>
        </w:rPr>
        <w:t xml:space="preserve"> et al., 2024; FRA, 2022; World Bank, 2023). Consequently, misleading or unverified sustainability disclosures may damage firm reputation and reduce firm value (Li et al., 2018; Gibson Brandon et al., 2022; Yu et al., 2018).</w:t>
      </w:r>
    </w:p>
    <w:p w14:paraId="5BFAB23D"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In summary, ESG reporting can enhance market transparency and build long-term trust, but only when supported by authentic environmental and social performance. For Egypt to attract sustainable investment, regulators and firms must prioritize quality, comparability, and verification of ESG information. Eliminating greenwashing will not only strengthen the value relevance of accounting information but also reinforce market confidence, fulfilling the true purpose of sustainability disclosure.</w:t>
      </w:r>
    </w:p>
    <w:p w14:paraId="3B94B45D"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This study set out to examine whether ESG greenwashing misleads investors in the Egyptian capital market. Using a comprehensive dataset of EGX-listed firms and applying the value relevance framework of Ohlson (1995), the results provide consistent evidence that investors penalize firms that engage in biased or exaggerated sustainability communication. Selective disclosure, expressive manipulation, and overall greenwashing each showed a significant negative effect on investor decisions, indicating that the credibility of ESG information matters more than the volume of ESG disclosure.</w:t>
      </w:r>
    </w:p>
    <w:p w14:paraId="52D82455"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 xml:space="preserve">The findings have several implications. First, they demonstrate that investors in Egypt are not passive recipients of sustainability reports; rather, they respond to perceived </w:t>
      </w:r>
      <w:r w:rsidRPr="0089215B">
        <w:rPr>
          <w:rFonts w:asciiTheme="majorBidi" w:eastAsia="Times New Roman" w:hAnsiTheme="majorBidi" w:cstheme="majorBidi"/>
          <w:kern w:val="0"/>
          <w:sz w:val="26"/>
          <w:szCs w:val="26"/>
          <w14:ligatures w14:val="none"/>
        </w:rPr>
        <w:lastRenderedPageBreak/>
        <w:t>transparency and reliability. Second, the evidence suggests that greenwashing undermines the intended role of ESG disclosure in reducing information asymmetry and enhancing capital market efficiency. Third, although ESG reporting standards have recently improved under regulatory reforms, the persistence of greenwashing signals a need for stronger assurance mechanisms, standardized metrics, and third-party verification.</w:t>
      </w:r>
    </w:p>
    <w:p w14:paraId="48F6B4D5"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kern w:val="0"/>
          <w:sz w:val="26"/>
          <w:szCs w:val="26"/>
          <w14:ligatures w14:val="none"/>
        </w:rPr>
        <w:t>This research contributes to the growing literature on ESG reporting in emerging markets by showing that investors discount sustainability information when it appears symbolic or incomplete. Future studies may explore the role of media scrutiny, analyst coverage, or industry-specific regulation in detecting and mitigating greenwashing. Overall, the results highlight that ESG disclosure generates value only when it is transparent, verifiable, and aligned with actual corporate behavior. Without such credibility, ESG reporting risks becoming a communication tool that erodes rather than enhances investor trust.</w:t>
      </w:r>
    </w:p>
    <w:p w14:paraId="3B84350F" w14:textId="77777777" w:rsidR="0089215B" w:rsidRPr="0089215B" w:rsidRDefault="0089215B" w:rsidP="0089215B">
      <w:pPr>
        <w:spacing w:before="100" w:beforeAutospacing="1" w:after="100" w:afterAutospacing="1" w:line="276" w:lineRule="auto"/>
        <w:jc w:val="both"/>
        <w:outlineLvl w:val="0"/>
        <w:rPr>
          <w:rFonts w:asciiTheme="majorBidi" w:eastAsia="Times New Roman" w:hAnsiTheme="majorBidi" w:cstheme="majorBidi"/>
          <w:b/>
          <w:bCs/>
          <w:kern w:val="36"/>
          <w:sz w:val="28"/>
          <w:szCs w:val="28"/>
          <w14:ligatures w14:val="none"/>
        </w:rPr>
      </w:pPr>
      <w:r w:rsidRPr="0089215B">
        <w:rPr>
          <w:rFonts w:asciiTheme="majorBidi" w:eastAsia="Times New Roman" w:hAnsiTheme="majorBidi" w:cstheme="majorBidi"/>
          <w:b/>
          <w:bCs/>
          <w:kern w:val="36"/>
          <w:sz w:val="28"/>
          <w:szCs w:val="28"/>
          <w14:ligatures w14:val="none"/>
        </w:rPr>
        <w:t>Recommendations</w:t>
      </w:r>
      <w:r w:rsidRPr="0089215B">
        <w:rPr>
          <w:rFonts w:asciiTheme="majorBidi" w:eastAsia="Times New Roman" w:hAnsiTheme="majorBidi" w:cstheme="majorBidi" w:hint="cs"/>
          <w:b/>
          <w:bCs/>
          <w:kern w:val="36"/>
          <w:sz w:val="28"/>
          <w:szCs w:val="28"/>
          <w:rtl/>
          <w14:ligatures w14:val="none"/>
        </w:rPr>
        <w:t>:</w:t>
      </w:r>
      <w:r w:rsidRPr="0089215B">
        <w:rPr>
          <w:rFonts w:asciiTheme="majorBidi" w:eastAsia="Times New Roman" w:hAnsiTheme="majorBidi" w:cstheme="majorBidi"/>
          <w:b/>
          <w:bCs/>
          <w:kern w:val="36"/>
          <w:sz w:val="28"/>
          <w:szCs w:val="28"/>
          <w14:ligatures w14:val="none"/>
        </w:rPr>
        <w:t xml:space="preserve"> </w:t>
      </w:r>
    </w:p>
    <w:p w14:paraId="59F44695" w14:textId="77777777" w:rsidR="0089215B" w:rsidRPr="0089215B" w:rsidRDefault="0089215B" w:rsidP="0089215B">
      <w:pPr>
        <w:numPr>
          <w:ilvl w:val="0"/>
          <w:numId w:val="11"/>
        </w:num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Enhance regulatory oversight of ESG reporting</w:t>
      </w:r>
      <w:r w:rsidRPr="0089215B">
        <w:rPr>
          <w:rFonts w:asciiTheme="majorBidi" w:eastAsia="Times New Roman" w:hAnsiTheme="majorBidi" w:cstheme="majorBidi"/>
          <w:kern w:val="0"/>
          <w:sz w:val="26"/>
          <w:szCs w:val="26"/>
          <w14:ligatures w14:val="none"/>
        </w:rPr>
        <w:t xml:space="preserve"> by expanding the role of supervisory bodies to ensure higher disclosure quality and limit greenwashing practices.</w:t>
      </w:r>
    </w:p>
    <w:p w14:paraId="0B449C92" w14:textId="77777777" w:rsidR="0089215B" w:rsidRPr="0089215B" w:rsidRDefault="0089215B" w:rsidP="0089215B">
      <w:pPr>
        <w:numPr>
          <w:ilvl w:val="0"/>
          <w:numId w:val="11"/>
        </w:num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Develop a unified national ESG reporting framework</w:t>
      </w:r>
      <w:r w:rsidRPr="0089215B">
        <w:rPr>
          <w:rFonts w:asciiTheme="majorBidi" w:eastAsia="Times New Roman" w:hAnsiTheme="majorBidi" w:cstheme="majorBidi"/>
          <w:kern w:val="0"/>
          <w:sz w:val="26"/>
          <w:szCs w:val="26"/>
          <w14:ligatures w14:val="none"/>
        </w:rPr>
        <w:t xml:space="preserve"> that promotes consistency and comparability across firms, thereby strengthening the reliability of sustainability information.</w:t>
      </w:r>
    </w:p>
    <w:p w14:paraId="623749BB" w14:textId="77777777" w:rsidR="0089215B" w:rsidRPr="0089215B" w:rsidRDefault="0089215B" w:rsidP="0089215B">
      <w:pPr>
        <w:numPr>
          <w:ilvl w:val="0"/>
          <w:numId w:val="11"/>
        </w:num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Require independent external assurance</w:t>
      </w:r>
      <w:r w:rsidRPr="0089215B">
        <w:rPr>
          <w:rFonts w:asciiTheme="majorBidi" w:eastAsia="Times New Roman" w:hAnsiTheme="majorBidi" w:cstheme="majorBidi"/>
          <w:kern w:val="0"/>
          <w:sz w:val="26"/>
          <w:szCs w:val="26"/>
          <w14:ligatures w14:val="none"/>
        </w:rPr>
        <w:t xml:space="preserve"> of sustainability reports by accredited auditors, strengthening investor confidence in the credibility of disclosed ESG data.</w:t>
      </w:r>
    </w:p>
    <w:p w14:paraId="7E1469B7" w14:textId="77777777" w:rsidR="0089215B" w:rsidRPr="0089215B" w:rsidRDefault="0089215B" w:rsidP="0089215B">
      <w:pPr>
        <w:numPr>
          <w:ilvl w:val="0"/>
          <w:numId w:val="11"/>
        </w:num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Mandate balanced disclosure of both positive and negative sustainability indicators,</w:t>
      </w:r>
      <w:r w:rsidRPr="0089215B">
        <w:rPr>
          <w:rFonts w:asciiTheme="majorBidi" w:eastAsia="Times New Roman" w:hAnsiTheme="majorBidi" w:cstheme="majorBidi"/>
          <w:kern w:val="0"/>
          <w:sz w:val="26"/>
          <w:szCs w:val="26"/>
          <w14:ligatures w14:val="none"/>
        </w:rPr>
        <w:t xml:space="preserve"> preventing selective reporting and reducing expressive manipulation.</w:t>
      </w:r>
    </w:p>
    <w:p w14:paraId="70288910" w14:textId="77777777" w:rsidR="0089215B" w:rsidRPr="0089215B" w:rsidRDefault="0089215B" w:rsidP="0089215B">
      <w:pPr>
        <w:numPr>
          <w:ilvl w:val="0"/>
          <w:numId w:val="11"/>
        </w:num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Increase investor awareness of greenwashing risks</w:t>
      </w:r>
      <w:r w:rsidRPr="0089215B">
        <w:rPr>
          <w:rFonts w:asciiTheme="majorBidi" w:eastAsia="Times New Roman" w:hAnsiTheme="majorBidi" w:cstheme="majorBidi"/>
          <w:kern w:val="0"/>
          <w:sz w:val="26"/>
          <w:szCs w:val="26"/>
          <w14:ligatures w14:val="none"/>
        </w:rPr>
        <w:t xml:space="preserve"> through educational initiatives and training programs that enable investors to distinguish between substantive and symbolic disclosures.</w:t>
      </w:r>
    </w:p>
    <w:p w14:paraId="5E1F271E" w14:textId="77777777" w:rsidR="0089215B" w:rsidRPr="0089215B" w:rsidRDefault="0089215B" w:rsidP="0089215B">
      <w:pPr>
        <w:numPr>
          <w:ilvl w:val="0"/>
          <w:numId w:val="11"/>
        </w:numPr>
        <w:spacing w:before="100" w:beforeAutospacing="1" w:after="100" w:afterAutospacing="1" w:line="276" w:lineRule="auto"/>
        <w:jc w:val="both"/>
        <w:rPr>
          <w:rFonts w:asciiTheme="majorBidi" w:eastAsia="Times New Roman" w:hAnsiTheme="majorBidi" w:cstheme="majorBidi"/>
          <w:kern w:val="0"/>
          <w:sz w:val="26"/>
          <w:szCs w:val="26"/>
          <w14:ligatures w14:val="none"/>
        </w:rPr>
      </w:pPr>
      <w:r w:rsidRPr="0089215B">
        <w:rPr>
          <w:rFonts w:asciiTheme="majorBidi" w:eastAsia="Times New Roman" w:hAnsiTheme="majorBidi" w:cstheme="majorBidi"/>
          <w:b/>
          <w:bCs/>
          <w:kern w:val="0"/>
          <w:sz w:val="26"/>
          <w:szCs w:val="26"/>
          <w14:ligatures w14:val="none"/>
        </w:rPr>
        <w:t>Support the establishment of local ESG rating agencies</w:t>
      </w:r>
      <w:r w:rsidRPr="0089215B">
        <w:rPr>
          <w:rFonts w:asciiTheme="majorBidi" w:eastAsia="Times New Roman" w:hAnsiTheme="majorBidi" w:cstheme="majorBidi"/>
          <w:kern w:val="0"/>
          <w:sz w:val="26"/>
          <w:szCs w:val="26"/>
          <w14:ligatures w14:val="none"/>
        </w:rPr>
        <w:t xml:space="preserve"> to improve the market’s ability to assess true environmental and social performance, rather than relying solely on international rating providers that may not fully capture the local context.</w:t>
      </w:r>
    </w:p>
    <w:p w14:paraId="2B818B2F" w14:textId="195B176C" w:rsidR="0089215B" w:rsidRPr="0089215B" w:rsidRDefault="0089215B" w:rsidP="0089215B">
      <w:pPr>
        <w:spacing w:after="200" w:line="276" w:lineRule="auto"/>
        <w:rPr>
          <w:rFonts w:asciiTheme="majorBidi" w:eastAsiaTheme="minorEastAsia" w:hAnsiTheme="majorBidi" w:cstheme="majorBidi"/>
          <w:kern w:val="0"/>
          <w:sz w:val="26"/>
          <w:szCs w:val="26"/>
          <w:rtl/>
          <w14:ligatures w14:val="none"/>
        </w:rPr>
      </w:pPr>
    </w:p>
    <w:p w14:paraId="1358EB97"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color w:val="000000" w:themeColor="text1"/>
          <w:kern w:val="0"/>
          <w:sz w:val="25"/>
          <w:szCs w:val="25"/>
          <w:rtl/>
          <w14:ligatures w14:val="none"/>
        </w:rPr>
      </w:pPr>
    </w:p>
    <w:p w14:paraId="5552C5C3"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color w:val="000000" w:themeColor="text1"/>
          <w:kern w:val="0"/>
          <w:sz w:val="25"/>
          <w:szCs w:val="25"/>
          <w:rtl/>
          <w14:ligatures w14:val="none"/>
        </w:rPr>
      </w:pPr>
    </w:p>
    <w:p w14:paraId="6379B5BC"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color w:val="000000" w:themeColor="text1"/>
          <w:kern w:val="0"/>
          <w:sz w:val="25"/>
          <w:szCs w:val="25"/>
          <w14:ligatures w14:val="none"/>
        </w:rPr>
      </w:pPr>
    </w:p>
    <w:p w14:paraId="4FE6FDD8" w14:textId="77777777" w:rsidR="0089215B" w:rsidRPr="0089215B" w:rsidRDefault="0089215B" w:rsidP="0089215B">
      <w:pPr>
        <w:bidi/>
        <w:spacing w:after="0" w:line="276" w:lineRule="auto"/>
        <w:rPr>
          <w:rFonts w:asciiTheme="majorBidi" w:eastAsia="Times New Roman" w:hAnsiTheme="majorBidi" w:cstheme="majorBidi"/>
          <w:b/>
          <w:bCs/>
          <w:color w:val="000000" w:themeColor="text1"/>
          <w:kern w:val="0"/>
          <w:sz w:val="22"/>
          <w:szCs w:val="22"/>
          <w:rtl/>
          <w:lang w:bidi="ar-EG"/>
          <w14:ligatures w14:val="none"/>
        </w:rPr>
      </w:pPr>
    </w:p>
    <w:p w14:paraId="6BA52B6C"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3A7FB3EA"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0AA0A52F" w14:textId="77777777" w:rsidR="0089215B" w:rsidRPr="0089215B" w:rsidRDefault="0089215B" w:rsidP="0089215B">
      <w:pPr>
        <w:bidi/>
        <w:spacing w:after="0" w:line="276" w:lineRule="auto"/>
        <w:rPr>
          <w:rFonts w:asciiTheme="majorBidi" w:eastAsia="Times New Roman" w:hAnsiTheme="majorBidi" w:cstheme="majorBidi"/>
          <w:b/>
          <w:bCs/>
          <w:color w:val="000000" w:themeColor="text1"/>
          <w:kern w:val="0"/>
          <w:sz w:val="22"/>
          <w:szCs w:val="22"/>
          <w:rtl/>
          <w14:ligatures w14:val="none"/>
        </w:rPr>
      </w:pPr>
    </w:p>
    <w:p w14:paraId="4FEDBD69"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6E884DF7"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7E24015A"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tbl>
      <w:tblPr>
        <w:tblpPr w:leftFromText="180" w:rightFromText="180" w:vertAnchor="page" w:horzAnchor="margin" w:tblpXSpec="center" w:tblpY="6256"/>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090"/>
      </w:tblGrid>
      <w:tr w:rsidR="00E1369D" w:rsidRPr="0089215B" w14:paraId="5A462D0A" w14:textId="77777777" w:rsidTr="00957911">
        <w:trPr>
          <w:trHeight w:val="467"/>
        </w:trPr>
        <w:tc>
          <w:tcPr>
            <w:tcW w:w="1260" w:type="dxa"/>
            <w:vAlign w:val="center"/>
          </w:tcPr>
          <w:p w14:paraId="71D97B65"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r w:rsidRPr="0089215B">
              <w:rPr>
                <w:rFonts w:ascii="Simplified Arabic" w:eastAsia="Times New Roman" w:hAnsi="Simplified Arabic" w:cs="Simplified Arabic"/>
                <w:b/>
                <w:bCs/>
                <w:kern w:val="0"/>
                <w:sz w:val="28"/>
                <w:szCs w:val="28"/>
                <w:rtl/>
                <w:lang w:bidi="ar-EG"/>
                <w14:ligatures w14:val="none"/>
              </w:rPr>
              <w:t>رقم البحث</w:t>
            </w:r>
          </w:p>
        </w:tc>
        <w:tc>
          <w:tcPr>
            <w:tcW w:w="8090" w:type="dxa"/>
            <w:vAlign w:val="center"/>
          </w:tcPr>
          <w:p w14:paraId="3F5FD39E"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r w:rsidRPr="0089215B">
              <w:rPr>
                <w:rFonts w:ascii="Simplified Arabic" w:eastAsia="Times New Roman" w:hAnsi="Simplified Arabic" w:cs="Simplified Arabic"/>
                <w:b/>
                <w:bCs/>
                <w:kern w:val="0"/>
                <w:sz w:val="28"/>
                <w:szCs w:val="28"/>
                <w:rtl/>
                <w:lang w:bidi="ar-EG"/>
                <w14:ligatures w14:val="none"/>
              </w:rPr>
              <w:t>رقم البحث في قائمة الأبحاث: (</w:t>
            </w:r>
            <w:r>
              <w:rPr>
                <w:rFonts w:ascii="Simplified Arabic" w:eastAsia="Times New Roman" w:hAnsi="Simplified Arabic" w:cs="Simplified Arabic" w:hint="cs"/>
                <w:b/>
                <w:bCs/>
                <w:kern w:val="0"/>
                <w:sz w:val="28"/>
                <w:szCs w:val="28"/>
                <w:rtl/>
                <w:lang w:bidi="ar-EG"/>
                <w14:ligatures w14:val="none"/>
              </w:rPr>
              <w:t>7</w:t>
            </w:r>
            <w:r w:rsidRPr="0089215B">
              <w:rPr>
                <w:rFonts w:ascii="Simplified Arabic" w:eastAsia="Times New Roman" w:hAnsi="Simplified Arabic" w:cs="Simplified Arabic"/>
                <w:b/>
                <w:bCs/>
                <w:kern w:val="0"/>
                <w:sz w:val="28"/>
                <w:szCs w:val="28"/>
                <w:rtl/>
                <w:lang w:bidi="ar-EG"/>
                <w14:ligatures w14:val="none"/>
              </w:rPr>
              <w:t>)</w:t>
            </w:r>
          </w:p>
        </w:tc>
      </w:tr>
      <w:tr w:rsidR="00E1369D" w:rsidRPr="0089215B" w14:paraId="312DC78C" w14:textId="77777777" w:rsidTr="00957911">
        <w:trPr>
          <w:trHeight w:val="638"/>
        </w:trPr>
        <w:tc>
          <w:tcPr>
            <w:tcW w:w="1260" w:type="dxa"/>
            <w:vAlign w:val="center"/>
          </w:tcPr>
          <w:p w14:paraId="513AADE7"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r w:rsidRPr="0089215B">
              <w:rPr>
                <w:rFonts w:ascii="Simplified Arabic" w:eastAsia="Times New Roman" w:hAnsi="Simplified Arabic" w:cs="Simplified Arabic"/>
                <w:b/>
                <w:bCs/>
                <w:kern w:val="0"/>
                <w:sz w:val="28"/>
                <w:szCs w:val="28"/>
                <w:rtl/>
                <w:lang w:bidi="ar-EG"/>
                <w14:ligatures w14:val="none"/>
              </w:rPr>
              <w:t>عنوان البحث</w:t>
            </w:r>
          </w:p>
        </w:tc>
        <w:tc>
          <w:tcPr>
            <w:tcW w:w="8090" w:type="dxa"/>
          </w:tcPr>
          <w:p w14:paraId="532E4584" w14:textId="77777777" w:rsidR="00E1369D" w:rsidRPr="0089215B" w:rsidRDefault="00E1369D" w:rsidP="00957911">
            <w:pPr>
              <w:bidi/>
              <w:spacing w:after="200" w:line="276" w:lineRule="auto"/>
              <w:jc w:val="center"/>
              <w:rPr>
                <w:rFonts w:ascii="Simplified Arabic" w:eastAsia="Times New Roman" w:hAnsi="Simplified Arabic" w:cs="Simplified Arabic"/>
                <w:b/>
                <w:bCs/>
                <w:kern w:val="0"/>
                <w:sz w:val="28"/>
                <w:szCs w:val="28"/>
                <w:rtl/>
                <w14:ligatures w14:val="none"/>
              </w:rPr>
            </w:pPr>
            <w:r w:rsidRPr="0089215B">
              <w:rPr>
                <w:rFonts w:ascii="Simplified Arabic" w:eastAsia="Times New Roman" w:hAnsi="Simplified Arabic" w:cs="Simplified Arabic"/>
                <w:b/>
                <w:bCs/>
                <w:kern w:val="0"/>
                <w:sz w:val="28"/>
                <w:szCs w:val="28"/>
                <w:rtl/>
                <w14:ligatures w14:val="none"/>
              </w:rPr>
              <w:t>هل يؤدي الغسل الأخضر لمعايير الحوكمة البيئية والاجتماعية والمؤسسية</w:t>
            </w:r>
            <w:r w:rsidRPr="0089215B">
              <w:rPr>
                <w:rFonts w:ascii="Simplified Arabic" w:eastAsia="Times New Roman" w:hAnsi="Simplified Arabic" w:cs="Simplified Arabic"/>
                <w:b/>
                <w:bCs/>
                <w:kern w:val="0"/>
                <w:sz w:val="28"/>
                <w:szCs w:val="28"/>
                <w14:ligatures w14:val="none"/>
              </w:rPr>
              <w:t xml:space="preserve"> (ESG) </w:t>
            </w:r>
            <w:r w:rsidRPr="0089215B">
              <w:rPr>
                <w:rFonts w:ascii="Simplified Arabic" w:eastAsia="Times New Roman" w:hAnsi="Simplified Arabic" w:cs="Simplified Arabic"/>
                <w:b/>
                <w:bCs/>
                <w:kern w:val="0"/>
                <w:sz w:val="28"/>
                <w:szCs w:val="28"/>
                <w:rtl/>
                <w14:ligatures w14:val="none"/>
              </w:rPr>
              <w:t>إلى تضليل المستثمرين؟ دل</w:t>
            </w:r>
            <w:r w:rsidRPr="0089215B">
              <w:rPr>
                <w:rFonts w:ascii="Simplified Arabic" w:eastAsia="Times New Roman" w:hAnsi="Simplified Arabic" w:cs="Simplified Arabic"/>
                <w:b/>
                <w:bCs/>
                <w:kern w:val="0"/>
                <w:sz w:val="28"/>
                <w:szCs w:val="28"/>
                <w:rtl/>
                <w:lang w:bidi="ar-EG"/>
                <w14:ligatures w14:val="none"/>
              </w:rPr>
              <w:t>يل</w:t>
            </w:r>
            <w:r w:rsidRPr="0089215B">
              <w:rPr>
                <w:rFonts w:ascii="Simplified Arabic" w:eastAsia="Times New Roman" w:hAnsi="Simplified Arabic" w:cs="Simplified Arabic"/>
                <w:b/>
                <w:bCs/>
                <w:kern w:val="0"/>
                <w:sz w:val="28"/>
                <w:szCs w:val="28"/>
                <w:rtl/>
                <w14:ligatures w14:val="none"/>
              </w:rPr>
              <w:t xml:space="preserve"> تجريبي من البورصة المصرية</w:t>
            </w:r>
            <w:r w:rsidRPr="0089215B">
              <w:rPr>
                <w:rFonts w:ascii="Simplified Arabic" w:eastAsia="Times New Roman" w:hAnsi="Simplified Arabic" w:cs="Simplified Arabic"/>
                <w:b/>
                <w:bCs/>
                <w:kern w:val="0"/>
                <w:sz w:val="28"/>
                <w:szCs w:val="28"/>
                <w14:ligatures w14:val="none"/>
              </w:rPr>
              <w:t xml:space="preserve"> (EGX)</w:t>
            </w:r>
          </w:p>
        </w:tc>
      </w:tr>
      <w:tr w:rsidR="00E1369D" w:rsidRPr="0089215B" w14:paraId="1C7BFCA5" w14:textId="77777777" w:rsidTr="00957911">
        <w:trPr>
          <w:trHeight w:val="737"/>
        </w:trPr>
        <w:tc>
          <w:tcPr>
            <w:tcW w:w="1260" w:type="dxa"/>
            <w:vMerge w:val="restart"/>
            <w:vAlign w:val="center"/>
          </w:tcPr>
          <w:p w14:paraId="444D2398"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r w:rsidRPr="0089215B">
              <w:rPr>
                <w:rFonts w:ascii="Simplified Arabic" w:eastAsia="Times New Roman" w:hAnsi="Simplified Arabic" w:cs="Simplified Arabic"/>
                <w:b/>
                <w:bCs/>
                <w:kern w:val="0"/>
                <w:sz w:val="28"/>
                <w:szCs w:val="28"/>
                <w:rtl/>
                <w:lang w:bidi="ar-EG"/>
                <w14:ligatures w14:val="none"/>
              </w:rPr>
              <w:t>اسماء المؤلفين</w:t>
            </w:r>
          </w:p>
        </w:tc>
        <w:tc>
          <w:tcPr>
            <w:tcW w:w="8090" w:type="dxa"/>
          </w:tcPr>
          <w:p w14:paraId="5E5B60F9" w14:textId="77777777" w:rsidR="00E1369D" w:rsidRPr="0089215B" w:rsidRDefault="00E1369D" w:rsidP="00957911">
            <w:pPr>
              <w:spacing w:before="120" w:after="120" w:line="259" w:lineRule="auto"/>
              <w:jc w:val="center"/>
              <w:rPr>
                <w:rFonts w:ascii="Simplified Arabic" w:hAnsi="Simplified Arabic" w:cs="Simplified Arabic"/>
                <w:b/>
                <w:bCs/>
                <w:sz w:val="28"/>
                <w:szCs w:val="28"/>
                <w:lang w:bidi="ar-EG"/>
              </w:rPr>
            </w:pPr>
            <w:r w:rsidRPr="0089215B">
              <w:rPr>
                <w:rFonts w:ascii="Simplified Arabic" w:hAnsi="Simplified Arabic" w:cs="Simplified Arabic"/>
                <w:b/>
                <w:bCs/>
                <w:sz w:val="28"/>
                <w:szCs w:val="28"/>
                <w:rtl/>
                <w:lang w:bidi="ar-EG"/>
              </w:rPr>
              <w:t>د. مها محمد ربيع الشافعي</w:t>
            </w:r>
          </w:p>
          <w:p w14:paraId="72A419BA" w14:textId="77777777" w:rsidR="00E1369D" w:rsidRPr="0089215B" w:rsidRDefault="00E1369D" w:rsidP="00957911">
            <w:pPr>
              <w:bidi/>
              <w:spacing w:after="200" w:line="276" w:lineRule="auto"/>
              <w:jc w:val="center"/>
              <w:rPr>
                <w:rFonts w:ascii="Simplified Arabic" w:eastAsia="Times New Roman" w:hAnsi="Simplified Arabic" w:cs="Simplified Arabic"/>
                <w:b/>
                <w:bCs/>
                <w:kern w:val="0"/>
                <w:sz w:val="28"/>
                <w:szCs w:val="28"/>
                <w:rtl/>
                <w14:ligatures w14:val="none"/>
              </w:rPr>
            </w:pPr>
            <w:r w:rsidRPr="0089215B">
              <w:rPr>
                <w:rFonts w:ascii="Simplified Arabic" w:hAnsi="Simplified Arabic" w:cs="Simplified Arabic"/>
                <w:b/>
                <w:bCs/>
                <w:sz w:val="28"/>
                <w:szCs w:val="28"/>
                <w:rtl/>
                <w:lang w:bidi="ar-EG"/>
              </w:rPr>
              <w:t xml:space="preserve">مدرس بقسم المحاسبة </w:t>
            </w:r>
            <w:r w:rsidRPr="0089215B">
              <w:rPr>
                <w:rFonts w:ascii="Simplified Arabic" w:hAnsi="Simplified Arabic" w:cs="Simplified Arabic" w:hint="cs"/>
                <w:b/>
                <w:bCs/>
                <w:sz w:val="28"/>
                <w:szCs w:val="28"/>
                <w:rtl/>
                <w:lang w:bidi="ar-EG"/>
              </w:rPr>
              <w:t xml:space="preserve">- </w:t>
            </w:r>
            <w:r w:rsidRPr="0089215B">
              <w:rPr>
                <w:rFonts w:ascii="Simplified Arabic" w:hAnsi="Simplified Arabic" w:cs="Simplified Arabic"/>
                <w:b/>
                <w:bCs/>
                <w:sz w:val="28"/>
                <w:szCs w:val="28"/>
                <w:rtl/>
                <w:lang w:bidi="ar-EG"/>
              </w:rPr>
              <w:t>كلية التجارة جامعة المنوفية</w:t>
            </w:r>
          </w:p>
        </w:tc>
      </w:tr>
      <w:tr w:rsidR="00E1369D" w:rsidRPr="0089215B" w14:paraId="0617DD18" w14:textId="77777777" w:rsidTr="00957911">
        <w:trPr>
          <w:trHeight w:val="755"/>
        </w:trPr>
        <w:tc>
          <w:tcPr>
            <w:tcW w:w="1260" w:type="dxa"/>
            <w:vMerge/>
            <w:vAlign w:val="center"/>
          </w:tcPr>
          <w:p w14:paraId="5B97F405"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p>
        </w:tc>
        <w:tc>
          <w:tcPr>
            <w:tcW w:w="8090" w:type="dxa"/>
          </w:tcPr>
          <w:tbl>
            <w:tblPr>
              <w:tblStyle w:val="TableGrid"/>
              <w:bidiVisual/>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2"/>
            </w:tblGrid>
            <w:tr w:rsidR="00E1369D" w:rsidRPr="00EF730F" w14:paraId="1D5298C3" w14:textId="77777777" w:rsidTr="00957911">
              <w:trPr>
                <w:jc w:val="center"/>
              </w:trPr>
              <w:tc>
                <w:tcPr>
                  <w:tcW w:w="3192" w:type="dxa"/>
                </w:tcPr>
                <w:p w14:paraId="6F7958DA" w14:textId="77777777" w:rsidR="00E1369D" w:rsidRPr="00EF730F" w:rsidRDefault="00E1369D" w:rsidP="00957911">
                  <w:pPr>
                    <w:framePr w:hSpace="180" w:wrap="around" w:vAnchor="page" w:hAnchor="margin" w:xAlign="center" w:y="6256"/>
                    <w:ind w:left="-57" w:right="-57"/>
                    <w:jc w:val="center"/>
                    <w:rPr>
                      <w:rFonts w:ascii="Simplified Arabic" w:hAnsi="Simplified Arabic" w:cs="Simplified Arabic"/>
                      <w:b/>
                      <w:bCs/>
                      <w:sz w:val="28"/>
                      <w:szCs w:val="28"/>
                      <w:rtl/>
                      <w:lang w:bidi="ar-EG"/>
                    </w:rPr>
                  </w:pPr>
                  <w:r w:rsidRPr="00EF730F">
                    <w:rPr>
                      <w:rFonts w:ascii="Simplified Arabic" w:hAnsi="Simplified Arabic" w:cs="Simplified Arabic"/>
                      <w:b/>
                      <w:bCs/>
                      <w:sz w:val="28"/>
                      <w:szCs w:val="28"/>
                      <w:rtl/>
                      <w:lang w:bidi="ar-EG"/>
                    </w:rPr>
                    <w:t>د/ أحمد حامد محمود عبدالحليم</w:t>
                  </w:r>
                </w:p>
              </w:tc>
            </w:tr>
            <w:tr w:rsidR="00E1369D" w:rsidRPr="00EF730F" w14:paraId="077609B2" w14:textId="77777777" w:rsidTr="00957911">
              <w:trPr>
                <w:trHeight w:val="1017"/>
                <w:jc w:val="center"/>
              </w:trPr>
              <w:tc>
                <w:tcPr>
                  <w:tcW w:w="3192" w:type="dxa"/>
                </w:tcPr>
                <w:p w14:paraId="04BB242B" w14:textId="77777777" w:rsidR="00E1369D" w:rsidRPr="00EF730F" w:rsidRDefault="00E1369D" w:rsidP="00957911">
                  <w:pPr>
                    <w:framePr w:hSpace="180" w:wrap="around" w:vAnchor="page" w:hAnchor="margin" w:xAlign="center" w:y="6256"/>
                    <w:ind w:left="-57" w:right="-57"/>
                    <w:jc w:val="center"/>
                    <w:rPr>
                      <w:rFonts w:ascii="Simplified Arabic" w:hAnsi="Simplified Arabic" w:cs="Simplified Arabic"/>
                      <w:b/>
                      <w:bCs/>
                      <w:sz w:val="28"/>
                      <w:szCs w:val="28"/>
                      <w:rtl/>
                      <w:lang w:bidi="ar-EG"/>
                    </w:rPr>
                  </w:pPr>
                  <w:r w:rsidRPr="00EF730F">
                    <w:rPr>
                      <w:rFonts w:ascii="Simplified Arabic" w:hAnsi="Simplified Arabic" w:cs="Simplified Arabic"/>
                      <w:b/>
                      <w:bCs/>
                      <w:sz w:val="28"/>
                      <w:szCs w:val="28"/>
                      <w:rtl/>
                      <w:lang w:bidi="ar-EG"/>
                    </w:rPr>
                    <w:t>أستاذ المحاسبة المالية</w:t>
                  </w:r>
                  <w:r>
                    <w:rPr>
                      <w:rFonts w:ascii="Simplified Arabic" w:hAnsi="Simplified Arabic" w:cs="Simplified Arabic" w:hint="cs"/>
                      <w:b/>
                      <w:bCs/>
                      <w:sz w:val="28"/>
                      <w:szCs w:val="28"/>
                      <w:rtl/>
                      <w:lang w:bidi="ar-EG"/>
                    </w:rPr>
                    <w:t>-</w:t>
                  </w:r>
                  <w:r w:rsidRPr="00EF730F">
                    <w:rPr>
                      <w:rFonts w:ascii="Simplified Arabic" w:hAnsi="Simplified Arabic" w:cs="Simplified Arabic"/>
                      <w:b/>
                      <w:bCs/>
                      <w:sz w:val="28"/>
                      <w:szCs w:val="28"/>
                      <w:rtl/>
                      <w:lang w:bidi="ar-EG"/>
                    </w:rPr>
                    <w:t xml:space="preserve"> كلية التجارة – جامعة بنها</w:t>
                  </w:r>
                </w:p>
                <w:p w14:paraId="1A67495C" w14:textId="77777777" w:rsidR="00E1369D" w:rsidRPr="00EF730F" w:rsidRDefault="00E1369D" w:rsidP="00957911">
                  <w:pPr>
                    <w:framePr w:hSpace="180" w:wrap="around" w:vAnchor="page" w:hAnchor="margin" w:xAlign="center" w:y="6256"/>
                    <w:ind w:left="-57" w:right="-57"/>
                    <w:jc w:val="center"/>
                    <w:rPr>
                      <w:rFonts w:ascii="Simplified Arabic" w:hAnsi="Simplified Arabic" w:cs="Simplified Arabic"/>
                      <w:b/>
                      <w:bCs/>
                      <w:sz w:val="28"/>
                      <w:szCs w:val="28"/>
                      <w:rtl/>
                      <w:lang w:bidi="ar-EG"/>
                    </w:rPr>
                  </w:pPr>
                </w:p>
              </w:tc>
            </w:tr>
          </w:tbl>
          <w:p w14:paraId="565E98C7"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p>
        </w:tc>
      </w:tr>
      <w:tr w:rsidR="00E1369D" w:rsidRPr="0089215B" w14:paraId="67438CCF" w14:textId="77777777" w:rsidTr="00957911">
        <w:trPr>
          <w:trHeight w:val="755"/>
        </w:trPr>
        <w:tc>
          <w:tcPr>
            <w:tcW w:w="1260" w:type="dxa"/>
            <w:vMerge/>
            <w:vAlign w:val="center"/>
          </w:tcPr>
          <w:p w14:paraId="5C898A2E"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p>
        </w:tc>
        <w:tc>
          <w:tcPr>
            <w:tcW w:w="8090" w:type="dxa"/>
          </w:tcPr>
          <w:tbl>
            <w:tblPr>
              <w:tblStyle w:val="TableGrid"/>
              <w:bidiVisual/>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2"/>
            </w:tblGrid>
            <w:tr w:rsidR="00E1369D" w:rsidRPr="00EF730F" w14:paraId="08DFCD35" w14:textId="77777777" w:rsidTr="00957911">
              <w:trPr>
                <w:jc w:val="center"/>
              </w:trPr>
              <w:tc>
                <w:tcPr>
                  <w:tcW w:w="3192" w:type="dxa"/>
                </w:tcPr>
                <w:p w14:paraId="2386E3D9" w14:textId="77777777" w:rsidR="00E1369D" w:rsidRPr="00EF730F" w:rsidRDefault="00E1369D" w:rsidP="00957911">
                  <w:pPr>
                    <w:framePr w:hSpace="180" w:wrap="around" w:vAnchor="page" w:hAnchor="margin" w:xAlign="center" w:y="6256"/>
                    <w:ind w:left="-57" w:right="-57"/>
                    <w:jc w:val="center"/>
                    <w:rPr>
                      <w:rFonts w:ascii="Simplified Arabic" w:hAnsi="Simplified Arabic" w:cs="Simplified Arabic"/>
                      <w:b/>
                      <w:bCs/>
                      <w:sz w:val="28"/>
                      <w:szCs w:val="28"/>
                      <w:rtl/>
                      <w:lang w:bidi="ar-EG"/>
                    </w:rPr>
                  </w:pPr>
                  <w:r w:rsidRPr="00EF730F">
                    <w:rPr>
                      <w:rFonts w:ascii="Simplified Arabic" w:hAnsi="Simplified Arabic" w:cs="Simplified Arabic"/>
                      <w:b/>
                      <w:bCs/>
                      <w:sz w:val="28"/>
                      <w:szCs w:val="28"/>
                      <w:rtl/>
                      <w:lang w:bidi="ar-EG"/>
                    </w:rPr>
                    <w:t>د/ شيرين شوقي السيد الملاح</w:t>
                  </w:r>
                </w:p>
              </w:tc>
            </w:tr>
            <w:tr w:rsidR="00E1369D" w:rsidRPr="00EF730F" w14:paraId="198F610D" w14:textId="77777777" w:rsidTr="00957911">
              <w:trPr>
                <w:jc w:val="center"/>
              </w:trPr>
              <w:tc>
                <w:tcPr>
                  <w:tcW w:w="3192" w:type="dxa"/>
                </w:tcPr>
                <w:p w14:paraId="0CD027C6" w14:textId="77777777" w:rsidR="00E1369D" w:rsidRPr="00EF730F" w:rsidRDefault="00E1369D" w:rsidP="00957911">
                  <w:pPr>
                    <w:framePr w:hSpace="180" w:wrap="around" w:vAnchor="page" w:hAnchor="margin" w:xAlign="center" w:y="6256"/>
                    <w:ind w:left="-57" w:right="-57"/>
                    <w:jc w:val="center"/>
                    <w:rPr>
                      <w:rFonts w:ascii="Simplified Arabic" w:hAnsi="Simplified Arabic" w:cs="Simplified Arabic"/>
                      <w:b/>
                      <w:bCs/>
                      <w:sz w:val="28"/>
                      <w:szCs w:val="28"/>
                      <w:rtl/>
                      <w:lang w:bidi="ar-EG"/>
                    </w:rPr>
                  </w:pPr>
                  <w:r w:rsidRPr="00EF730F">
                    <w:rPr>
                      <w:rFonts w:ascii="Simplified Arabic" w:hAnsi="Simplified Arabic" w:cs="Simplified Arabic"/>
                      <w:b/>
                      <w:bCs/>
                      <w:sz w:val="28"/>
                      <w:szCs w:val="28"/>
                      <w:rtl/>
                      <w:lang w:bidi="ar-EG"/>
                    </w:rPr>
                    <w:t>أستاذ المحاسبة والمراجعة  المساعد</w:t>
                  </w:r>
                  <w:r>
                    <w:rPr>
                      <w:rFonts w:ascii="Simplified Arabic" w:hAnsi="Simplified Arabic" w:cs="Simplified Arabic" w:hint="cs"/>
                      <w:b/>
                      <w:bCs/>
                      <w:sz w:val="28"/>
                      <w:szCs w:val="28"/>
                      <w:rtl/>
                      <w:lang w:bidi="ar-EG"/>
                    </w:rPr>
                    <w:t>-</w:t>
                  </w:r>
                  <w:r w:rsidRPr="00EF730F">
                    <w:rPr>
                      <w:rFonts w:ascii="Simplified Arabic" w:hAnsi="Simplified Arabic" w:cs="Simplified Arabic"/>
                      <w:b/>
                      <w:bCs/>
                      <w:sz w:val="28"/>
                      <w:szCs w:val="28"/>
                      <w:rtl/>
                      <w:lang w:bidi="ar-EG"/>
                    </w:rPr>
                    <w:t xml:space="preserve"> كلية التجارة – جامعة بنها</w:t>
                  </w:r>
                </w:p>
                <w:p w14:paraId="28928F47" w14:textId="77777777" w:rsidR="00E1369D" w:rsidRPr="00EF730F" w:rsidRDefault="00E1369D" w:rsidP="00957911">
                  <w:pPr>
                    <w:framePr w:hSpace="180" w:wrap="around" w:vAnchor="page" w:hAnchor="margin" w:xAlign="center" w:y="6256"/>
                    <w:ind w:left="-57" w:right="-57"/>
                    <w:jc w:val="center"/>
                    <w:rPr>
                      <w:rFonts w:ascii="Simplified Arabic" w:hAnsi="Simplified Arabic" w:cs="Simplified Arabic"/>
                      <w:b/>
                      <w:bCs/>
                      <w:sz w:val="28"/>
                      <w:szCs w:val="28"/>
                      <w:rtl/>
                      <w:lang w:bidi="ar-EG"/>
                    </w:rPr>
                  </w:pPr>
                </w:p>
              </w:tc>
            </w:tr>
          </w:tbl>
          <w:p w14:paraId="2C8AE36D" w14:textId="77777777" w:rsidR="00E1369D" w:rsidRPr="0089215B" w:rsidRDefault="00E1369D" w:rsidP="00957911">
            <w:pPr>
              <w:spacing w:before="120" w:after="120" w:line="259" w:lineRule="auto"/>
              <w:jc w:val="center"/>
              <w:rPr>
                <w:rFonts w:ascii="Simplified Arabic" w:hAnsi="Simplified Arabic" w:cs="Simplified Arabic"/>
                <w:b/>
                <w:bCs/>
                <w:sz w:val="28"/>
                <w:szCs w:val="28"/>
                <w:rtl/>
                <w:lang w:bidi="ar-EG"/>
              </w:rPr>
            </w:pPr>
          </w:p>
        </w:tc>
      </w:tr>
      <w:tr w:rsidR="00E1369D" w:rsidRPr="0089215B" w14:paraId="51A687F0" w14:textId="77777777" w:rsidTr="00957911">
        <w:tc>
          <w:tcPr>
            <w:tcW w:w="1260" w:type="dxa"/>
            <w:vAlign w:val="center"/>
          </w:tcPr>
          <w:p w14:paraId="257DD497" w14:textId="77777777" w:rsidR="00E1369D" w:rsidRPr="0089215B" w:rsidRDefault="00E1369D" w:rsidP="00957911">
            <w:pPr>
              <w:spacing w:after="0" w:line="240" w:lineRule="auto"/>
              <w:jc w:val="center"/>
              <w:rPr>
                <w:rFonts w:ascii="Simplified Arabic" w:eastAsia="Times New Roman" w:hAnsi="Simplified Arabic" w:cs="Simplified Arabic"/>
                <w:b/>
                <w:bCs/>
                <w:kern w:val="0"/>
                <w:sz w:val="28"/>
                <w:szCs w:val="28"/>
                <w:rtl/>
                <w:lang w:bidi="ar-EG"/>
                <w14:ligatures w14:val="none"/>
              </w:rPr>
            </w:pPr>
            <w:r w:rsidRPr="0089215B">
              <w:rPr>
                <w:rFonts w:ascii="Simplified Arabic" w:eastAsia="Times New Roman" w:hAnsi="Simplified Arabic" w:cs="Simplified Arabic"/>
                <w:b/>
                <w:bCs/>
                <w:kern w:val="0"/>
                <w:sz w:val="28"/>
                <w:szCs w:val="28"/>
                <w:rtl/>
                <w:lang w:bidi="ar-EG"/>
                <w14:ligatures w14:val="none"/>
              </w:rPr>
              <w:t>جهة النشر</w:t>
            </w:r>
          </w:p>
        </w:tc>
        <w:tc>
          <w:tcPr>
            <w:tcW w:w="8090" w:type="dxa"/>
          </w:tcPr>
          <w:p w14:paraId="67517434" w14:textId="77777777" w:rsidR="00E1369D" w:rsidRPr="0089215B" w:rsidRDefault="00E1369D" w:rsidP="00957911">
            <w:pPr>
              <w:bidi/>
              <w:jc w:val="center"/>
              <w:rPr>
                <w:rFonts w:ascii="Simplified Arabic" w:eastAsia="Times New Roman" w:hAnsi="Simplified Arabic" w:cs="Simplified Arabic"/>
                <w:b/>
                <w:bCs/>
                <w:kern w:val="0"/>
                <w:sz w:val="28"/>
                <w:szCs w:val="28"/>
                <w:rtl/>
                <w14:ligatures w14:val="none"/>
              </w:rPr>
            </w:pPr>
            <w:r w:rsidRPr="0089215B">
              <w:rPr>
                <w:rFonts w:ascii="Simplified Arabic" w:eastAsia="Times New Roman" w:hAnsi="Simplified Arabic" w:cs="Simplified Arabic"/>
                <w:b/>
                <w:bCs/>
                <w:kern w:val="0"/>
                <w:sz w:val="28"/>
                <w:szCs w:val="28"/>
                <w:rtl/>
                <w:lang w:bidi="ar-EG"/>
                <w14:ligatures w14:val="none"/>
              </w:rPr>
              <w:t xml:space="preserve">  </w:t>
            </w:r>
            <w:r w:rsidRPr="0089215B">
              <w:rPr>
                <w:rFonts w:ascii="Simplified Arabic" w:eastAsia="Times New Roman" w:hAnsi="Simplified Arabic" w:cs="Simplified Arabic"/>
                <w:b/>
                <w:bCs/>
                <w:kern w:val="0"/>
                <w:sz w:val="28"/>
                <w:szCs w:val="28"/>
                <w:rtl/>
                <w14:ligatures w14:val="none"/>
              </w:rPr>
              <w:t xml:space="preserve"> المجلة العلمية لل</w:t>
            </w:r>
            <w:r w:rsidRPr="0089215B">
              <w:rPr>
                <w:rFonts w:ascii="Simplified Arabic" w:eastAsia="Times New Roman" w:hAnsi="Simplified Arabic" w:cs="Simplified Arabic"/>
                <w:b/>
                <w:bCs/>
                <w:kern w:val="0"/>
                <w:sz w:val="28"/>
                <w:szCs w:val="28"/>
                <w:rtl/>
                <w:lang w:bidi="ar-EG"/>
                <w14:ligatures w14:val="none"/>
              </w:rPr>
              <w:t>بحوث</w:t>
            </w:r>
            <w:r w:rsidRPr="0089215B">
              <w:rPr>
                <w:rFonts w:ascii="Simplified Arabic" w:eastAsia="Times New Roman" w:hAnsi="Simplified Arabic" w:cs="Simplified Arabic"/>
                <w:b/>
                <w:bCs/>
                <w:kern w:val="0"/>
                <w:sz w:val="28"/>
                <w:szCs w:val="28"/>
                <w:rtl/>
                <w14:ligatures w14:val="none"/>
              </w:rPr>
              <w:t xml:space="preserve"> التجارية ، كلية التجارة، جامعة المنوفية،</w:t>
            </w:r>
            <w:r w:rsidRPr="0089215B">
              <w:rPr>
                <w:rFonts w:ascii="Simplified Arabic" w:eastAsia="Times New Roman" w:hAnsi="Simplified Arabic" w:cs="Simplified Arabic" w:hint="cs"/>
                <w:b/>
                <w:bCs/>
                <w:kern w:val="0"/>
                <w:sz w:val="28"/>
                <w:szCs w:val="28"/>
                <w:rtl/>
                <w14:ligatures w14:val="none"/>
              </w:rPr>
              <w:t xml:space="preserve"> المجلد60،  العدد الأول،</w:t>
            </w:r>
            <w:r w:rsidRPr="0089215B">
              <w:rPr>
                <w:rFonts w:ascii="Simplified Arabic" w:eastAsia="Times New Roman" w:hAnsi="Simplified Arabic" w:cs="Simplified Arabic"/>
                <w:b/>
                <w:bCs/>
                <w:kern w:val="0"/>
                <w:sz w:val="28"/>
                <w:szCs w:val="28"/>
                <w:rtl/>
                <w14:ligatures w14:val="none"/>
              </w:rPr>
              <w:t xml:space="preserve"> يناير202</w:t>
            </w:r>
            <w:r>
              <w:rPr>
                <w:rFonts w:ascii="Simplified Arabic" w:eastAsia="Times New Roman" w:hAnsi="Simplified Arabic" w:cs="Simplified Arabic" w:hint="cs"/>
                <w:b/>
                <w:bCs/>
                <w:kern w:val="0"/>
                <w:sz w:val="28"/>
                <w:szCs w:val="28"/>
                <w:rtl/>
                <w14:ligatures w14:val="none"/>
              </w:rPr>
              <w:t>6</w:t>
            </w:r>
          </w:p>
          <w:p w14:paraId="3AE3D671" w14:textId="77777777" w:rsidR="00E1369D" w:rsidRPr="0089215B" w:rsidRDefault="00E1369D" w:rsidP="00957911">
            <w:pPr>
              <w:spacing w:after="0" w:line="240" w:lineRule="auto"/>
              <w:jc w:val="center"/>
              <w:rPr>
                <w:rFonts w:ascii="Simplified Arabic" w:eastAsia="Times New Roman" w:hAnsi="Simplified Arabic" w:cs="Simplified Arabic"/>
                <w:kern w:val="0"/>
                <w:sz w:val="28"/>
                <w:szCs w:val="28"/>
                <w:rtl/>
                <w:lang w:bidi="ar-EG"/>
                <w14:ligatures w14:val="none"/>
              </w:rPr>
            </w:pPr>
          </w:p>
        </w:tc>
      </w:tr>
    </w:tbl>
    <w:p w14:paraId="4654C704"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lang w:bidi="ar-EG"/>
          <w14:ligatures w14:val="none"/>
        </w:rPr>
      </w:pPr>
    </w:p>
    <w:p w14:paraId="3D63BEE4"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369F13E2"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0FCAA3E4"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6BFE0CAF"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0C3991E2" w14:textId="77777777" w:rsidR="0089215B" w:rsidRPr="0089215B" w:rsidRDefault="0089215B" w:rsidP="0089215B">
      <w:pPr>
        <w:bidi/>
        <w:spacing w:after="0" w:line="276" w:lineRule="auto"/>
        <w:jc w:val="center"/>
        <w:rPr>
          <w:rFonts w:asciiTheme="majorBidi" w:eastAsia="Times New Roman" w:hAnsiTheme="majorBidi" w:cstheme="majorBidi"/>
          <w:b/>
          <w:bCs/>
          <w:color w:val="000000" w:themeColor="text1"/>
          <w:kern w:val="0"/>
          <w:sz w:val="22"/>
          <w:szCs w:val="22"/>
          <w:rtl/>
          <w14:ligatures w14:val="none"/>
        </w:rPr>
      </w:pPr>
    </w:p>
    <w:p w14:paraId="179E4BC4" w14:textId="77777777" w:rsidR="0089215B" w:rsidRDefault="0089215B" w:rsidP="0089215B">
      <w:pPr>
        <w:bidi/>
        <w:spacing w:after="0" w:line="276" w:lineRule="auto"/>
        <w:rPr>
          <w:rFonts w:asciiTheme="majorBidi" w:eastAsia="Times New Roman" w:hAnsiTheme="majorBidi" w:cstheme="majorBidi"/>
          <w:b/>
          <w:bCs/>
          <w:color w:val="000000" w:themeColor="text1"/>
          <w:kern w:val="0"/>
          <w:sz w:val="22"/>
          <w:szCs w:val="22"/>
          <w:rtl/>
          <w14:ligatures w14:val="none"/>
        </w:rPr>
      </w:pPr>
    </w:p>
    <w:p w14:paraId="2ECD6EAD" w14:textId="77777777" w:rsidR="0089215B" w:rsidRPr="0089215B" w:rsidRDefault="0089215B" w:rsidP="00E1369D">
      <w:pPr>
        <w:bidi/>
        <w:spacing w:after="0" w:line="276" w:lineRule="auto"/>
        <w:rPr>
          <w:rFonts w:asciiTheme="majorBidi" w:eastAsia="Times New Roman" w:hAnsiTheme="majorBidi" w:cstheme="majorBidi"/>
          <w:b/>
          <w:bCs/>
          <w:color w:val="000000" w:themeColor="text1"/>
          <w:kern w:val="0"/>
          <w:sz w:val="22"/>
          <w:szCs w:val="22"/>
          <w:rtl/>
          <w14:ligatures w14:val="none"/>
        </w:rPr>
      </w:pPr>
    </w:p>
    <w:p w14:paraId="68DB2167" w14:textId="77777777" w:rsidR="0089215B" w:rsidRPr="0089215B" w:rsidRDefault="0089215B" w:rsidP="0089215B">
      <w:pPr>
        <w:bidi/>
        <w:spacing w:before="100" w:beforeAutospacing="1" w:after="100" w:afterAutospacing="1" w:line="276" w:lineRule="auto"/>
        <w:jc w:val="both"/>
        <w:rPr>
          <w:rFonts w:ascii="Simplified Arabic" w:eastAsiaTheme="majorEastAsia" w:hAnsi="Simplified Arabic" w:cs="Simplified Arabic"/>
          <w:b/>
          <w:bCs/>
          <w:kern w:val="0"/>
          <w:sz w:val="28"/>
          <w:szCs w:val="28"/>
          <w:rtl/>
          <w:lang w:bidi="ar-EG"/>
          <w14:ligatures w14:val="none"/>
        </w:rPr>
      </w:pPr>
      <w:r w:rsidRPr="0089215B">
        <w:rPr>
          <w:rFonts w:ascii="Simplified Arabic" w:eastAsiaTheme="majorEastAsia" w:hAnsi="Simplified Arabic" w:cs="Simplified Arabic"/>
          <w:b/>
          <w:bCs/>
          <w:kern w:val="0"/>
          <w:sz w:val="28"/>
          <w:szCs w:val="28"/>
          <w:rtl/>
          <w:lang w:bidi="ar-EG"/>
          <w14:ligatures w14:val="none"/>
        </w:rPr>
        <w:lastRenderedPageBreak/>
        <w:t>مقدمة ومشكلة البحث:</w:t>
      </w:r>
    </w:p>
    <w:p w14:paraId="399D69EC"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في السنوات الأخيرة، تطورت تقارير البيئة والمجتمع والحوكمة</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من مبادرة طوعية إلى عنصر أساسي في مساءلة الشركات وتقييم الاستثمارات. ومع تزايد الوعي العالمي بالمخاطر المرتبطة بالاستدامة والمناخ، يعتمد المستثمرون بشكل متزايد على الإفصاحات المتعلقة بالـ</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لتقييم المعايير الأخلاقية للشركات، وإدارتها البيئية، وفاعلية الحوكمة لديها. يهدف دمج عوامل</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في اتخاذ القرارات المالية إلى تعزيز الشفافية، وتقليل الفجوة المعلوماتية، ومواءمة أهداف الشركات مع أهداف التنمية المستدامة الأوسع</w:t>
      </w:r>
      <w:r w:rsidRPr="0089215B">
        <w:rPr>
          <w:rFonts w:ascii="Simplified Arabic" w:eastAsia="Times New Roman" w:hAnsi="Simplified Arabic" w:cs="Simplified Arabic"/>
          <w:kern w:val="0"/>
          <w:sz w:val="26"/>
          <w:szCs w:val="26"/>
          <w14:ligatures w14:val="none"/>
        </w:rPr>
        <w:t xml:space="preserve"> (Giese et al., 2019; Li et al., 2018).</w:t>
      </w:r>
    </w:p>
    <w:p w14:paraId="66F56616"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ومع ذلك، ورغم هذا الاهتمام المتزايد، تصاعدت المخاوف بشأن مصداقية وقابلية مقارنة معلومات</w:t>
      </w:r>
      <w:r w:rsidRPr="0089215B">
        <w:rPr>
          <w:rFonts w:ascii="Simplified Arabic" w:eastAsia="Times New Roman" w:hAnsi="Simplified Arabic" w:cs="Simplified Arabic"/>
          <w:kern w:val="0"/>
          <w:sz w:val="26"/>
          <w:szCs w:val="26"/>
          <w14:ligatures w14:val="none"/>
        </w:rPr>
        <w:t xml:space="preserve"> ESG</w:t>
      </w:r>
      <w:r w:rsidRPr="0089215B">
        <w:rPr>
          <w:rFonts w:ascii="Simplified Arabic" w:eastAsia="Times New Roman" w:hAnsi="Simplified Arabic" w:cs="Simplified Arabic"/>
          <w:kern w:val="0"/>
          <w:sz w:val="26"/>
          <w:szCs w:val="26"/>
          <w:rtl/>
          <w14:ligatures w14:val="none"/>
        </w:rPr>
        <w:t>، خاصة في الأسواق الناشئة حيث تظل آليات التحقق والتنفيذ محدودة</w:t>
      </w:r>
      <w:r w:rsidRPr="0089215B">
        <w:rPr>
          <w:rFonts w:ascii="Simplified Arabic" w:eastAsia="Times New Roman" w:hAnsi="Simplified Arabic" w:cs="Simplified Arabic"/>
          <w:kern w:val="0"/>
          <w:sz w:val="26"/>
          <w:szCs w:val="26"/>
          <w14:ligatures w14:val="none"/>
        </w:rPr>
        <w:t xml:space="preserve"> (</w:t>
      </w:r>
      <w:proofErr w:type="spellStart"/>
      <w:r w:rsidRPr="0089215B">
        <w:rPr>
          <w:rFonts w:ascii="Simplified Arabic" w:eastAsia="Times New Roman" w:hAnsi="Simplified Arabic" w:cs="Simplified Arabic"/>
          <w:kern w:val="0"/>
          <w:sz w:val="26"/>
          <w:szCs w:val="26"/>
          <w14:ligatures w14:val="none"/>
        </w:rPr>
        <w:t>Benuzzi</w:t>
      </w:r>
      <w:proofErr w:type="spellEnd"/>
      <w:r w:rsidRPr="0089215B">
        <w:rPr>
          <w:rFonts w:ascii="Simplified Arabic" w:eastAsia="Times New Roman" w:hAnsi="Simplified Arabic" w:cs="Simplified Arabic"/>
          <w:kern w:val="0"/>
          <w:sz w:val="26"/>
          <w:szCs w:val="26"/>
          <w14:ligatures w14:val="none"/>
        </w:rPr>
        <w:t xml:space="preserve"> et al., 2023; Kathan et al., 2025). </w:t>
      </w:r>
      <w:r w:rsidRPr="0089215B">
        <w:rPr>
          <w:rFonts w:ascii="Simplified Arabic" w:eastAsia="Times New Roman" w:hAnsi="Simplified Arabic" w:cs="Simplified Arabic"/>
          <w:kern w:val="0"/>
          <w:sz w:val="26"/>
          <w:szCs w:val="26"/>
          <w:rtl/>
          <w14:ligatures w14:val="none"/>
        </w:rPr>
        <w:t xml:space="preserve">ومن التحديات الرئيسية في هذا المجال ظاهرة </w:t>
      </w:r>
      <w:r w:rsidRPr="0089215B">
        <w:rPr>
          <w:rFonts w:ascii="Simplified Arabic" w:eastAsia="Times New Roman" w:hAnsi="Simplified Arabic" w:cs="Simplified Arabic"/>
          <w:b/>
          <w:bCs/>
          <w:kern w:val="0"/>
          <w:sz w:val="26"/>
          <w:szCs w:val="26"/>
          <w:rtl/>
          <w14:ligatures w14:val="none"/>
        </w:rPr>
        <w:t>التجميل البيئي أو الغرين ووشينغ</w:t>
      </w:r>
      <w:r w:rsidRPr="0089215B">
        <w:rPr>
          <w:rFonts w:ascii="Simplified Arabic" w:eastAsia="Times New Roman" w:hAnsi="Simplified Arabic" w:cs="Simplified Arabic"/>
          <w:kern w:val="0"/>
          <w:sz w:val="26"/>
          <w:szCs w:val="26"/>
          <w:rtl/>
          <w14:ligatures w14:val="none"/>
        </w:rPr>
        <w:t>، وهي ممارسة تقوم فيها الشركات بالمبالغة أو التجميل أو الإفصاح الانتقائي عن إنجازات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لتبدو أكثر التزامًا مما هي عليه في الواقع. مثل هذه الممارسات تقوّض القيمة المعلوماتية لتقارير</w:t>
      </w:r>
      <w:r w:rsidRPr="0089215B">
        <w:rPr>
          <w:rFonts w:ascii="Simplified Arabic" w:eastAsia="Times New Roman" w:hAnsi="Simplified Arabic" w:cs="Simplified Arabic"/>
          <w:kern w:val="0"/>
          <w:sz w:val="26"/>
          <w:szCs w:val="26"/>
          <w14:ligatures w14:val="none"/>
        </w:rPr>
        <w:t xml:space="preserve"> ESG</w:t>
      </w:r>
      <w:r w:rsidRPr="0089215B">
        <w:rPr>
          <w:rFonts w:ascii="Simplified Arabic" w:eastAsia="Times New Roman" w:hAnsi="Simplified Arabic" w:cs="Simplified Arabic"/>
          <w:kern w:val="0"/>
          <w:sz w:val="26"/>
          <w:szCs w:val="26"/>
          <w:rtl/>
          <w14:ligatures w14:val="none"/>
        </w:rPr>
        <w:t>، وتضعف ثقة السوق، وتضلل المستثمرين</w:t>
      </w:r>
      <w:r w:rsidRPr="0089215B">
        <w:rPr>
          <w:rFonts w:ascii="Simplified Arabic" w:eastAsia="Times New Roman" w:hAnsi="Simplified Arabic" w:cs="Simplified Arabic"/>
          <w:kern w:val="0"/>
          <w:sz w:val="26"/>
          <w:szCs w:val="26"/>
          <w14:ligatures w14:val="none"/>
        </w:rPr>
        <w:t xml:space="preserve"> (Delmas &amp; Burbano, 2011; Lyon &amp; Montgomery, 2015; Walker &amp; Wan, 2012).</w:t>
      </w:r>
    </w:p>
    <w:p w14:paraId="6F5A54A6"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تتفاقم هذه المشكلة في الأسواق الناشئة، حيث تعتمد الشركات غالبًا على تقارير</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لتلبية ضغوط الشرعية الخارجية أو لجذب المستثمرين الدوليين، بدلاً من إظهار التزام حقيقي بالاستدامة</w:t>
      </w:r>
      <w:r w:rsidRPr="0089215B">
        <w:rPr>
          <w:rFonts w:ascii="Simplified Arabic" w:eastAsia="Times New Roman" w:hAnsi="Simplified Arabic" w:cs="Simplified Arabic"/>
          <w:kern w:val="0"/>
          <w:sz w:val="26"/>
          <w:szCs w:val="26"/>
          <w14:ligatures w14:val="none"/>
        </w:rPr>
        <w:t xml:space="preserve"> (Marquis et al., 2016; </w:t>
      </w:r>
      <w:proofErr w:type="spellStart"/>
      <w:r w:rsidRPr="0089215B">
        <w:rPr>
          <w:rFonts w:ascii="Simplified Arabic" w:eastAsia="Times New Roman" w:hAnsi="Simplified Arabic" w:cs="Simplified Arabic"/>
          <w:kern w:val="0"/>
          <w:sz w:val="26"/>
          <w:szCs w:val="26"/>
          <w14:ligatures w14:val="none"/>
        </w:rPr>
        <w:t>Dempere</w:t>
      </w:r>
      <w:proofErr w:type="spellEnd"/>
      <w:r w:rsidRPr="0089215B">
        <w:rPr>
          <w:rFonts w:ascii="Simplified Arabic" w:eastAsia="Times New Roman" w:hAnsi="Simplified Arabic" w:cs="Simplified Arabic"/>
          <w:kern w:val="0"/>
          <w:sz w:val="26"/>
          <w:szCs w:val="26"/>
          <w14:ligatures w14:val="none"/>
        </w:rPr>
        <w:t xml:space="preserve"> et al., 2024). </w:t>
      </w:r>
      <w:r w:rsidRPr="0089215B">
        <w:rPr>
          <w:rFonts w:ascii="Simplified Arabic" w:eastAsia="Times New Roman" w:hAnsi="Simplified Arabic" w:cs="Simplified Arabic"/>
          <w:kern w:val="0"/>
          <w:sz w:val="26"/>
          <w:szCs w:val="26"/>
          <w:rtl/>
          <w14:ligatures w14:val="none"/>
        </w:rPr>
        <w:t>ونتيجة لذلك، يواجه المستثمرون صعوبة في التمييز بين الإفصاح الحقيقي والفرصوي، مما يؤدي إلى احتمال سوء تخصيص رأس المال وتآكل الثقة</w:t>
      </w:r>
      <w:r w:rsidRPr="0089215B">
        <w:rPr>
          <w:rFonts w:ascii="Simplified Arabic" w:eastAsia="Times New Roman" w:hAnsi="Simplified Arabic" w:cs="Simplified Arabic"/>
          <w:kern w:val="0"/>
          <w:sz w:val="26"/>
          <w:szCs w:val="26"/>
          <w14:ligatures w14:val="none"/>
        </w:rPr>
        <w:t xml:space="preserve"> (Xu et al., 2024; Liu, 2025).</w:t>
      </w:r>
    </w:p>
    <w:p w14:paraId="776E4B67"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في مصر، ألزمت هيئة الرقابة المالية</w:t>
      </w:r>
      <w:r w:rsidRPr="0089215B">
        <w:rPr>
          <w:rFonts w:ascii="Simplified Arabic" w:eastAsia="Times New Roman" w:hAnsi="Simplified Arabic" w:cs="Simplified Arabic"/>
          <w:kern w:val="0"/>
          <w:sz w:val="26"/>
          <w:szCs w:val="26"/>
          <w14:ligatures w14:val="none"/>
        </w:rPr>
        <w:t xml:space="preserve"> (FRA) </w:t>
      </w:r>
      <w:r w:rsidRPr="0089215B">
        <w:rPr>
          <w:rFonts w:ascii="Simplified Arabic" w:eastAsia="Times New Roman" w:hAnsi="Simplified Arabic" w:cs="Simplified Arabic"/>
          <w:kern w:val="0"/>
          <w:sz w:val="26"/>
          <w:szCs w:val="26"/>
          <w:rtl/>
          <w14:ligatures w14:val="none"/>
        </w:rPr>
        <w:t>مؤخرًا بالإفصاح عن تقارير الاستدامة و</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للشركات المدرجة والمؤسسات المالية غير المصرفية</w:t>
      </w:r>
      <w:r w:rsidRPr="0089215B">
        <w:rPr>
          <w:rFonts w:ascii="Simplified Arabic" w:eastAsia="Times New Roman" w:hAnsi="Simplified Arabic" w:cs="Simplified Arabic"/>
          <w:kern w:val="0"/>
          <w:sz w:val="26"/>
          <w:szCs w:val="26"/>
          <w14:ligatures w14:val="none"/>
        </w:rPr>
        <w:t xml:space="preserve"> (FRA, 2022). </w:t>
      </w:r>
      <w:r w:rsidRPr="0089215B">
        <w:rPr>
          <w:rFonts w:ascii="Simplified Arabic" w:eastAsia="Times New Roman" w:hAnsi="Simplified Arabic" w:cs="Simplified Arabic"/>
          <w:kern w:val="0"/>
          <w:sz w:val="26"/>
          <w:szCs w:val="26"/>
          <w:rtl/>
          <w14:ligatures w14:val="none"/>
        </w:rPr>
        <w:t>ومع ذلك، تظل معظم الإفصاحات وصفية وغير موثوقة، وتركز على المبادرات الاجتماعية والمجتمعية بدلاً من مؤشرات بيئية أو حوكمة قابلة للقياس</w:t>
      </w:r>
      <w:r w:rsidRPr="0089215B">
        <w:rPr>
          <w:rFonts w:ascii="Simplified Arabic" w:eastAsia="Times New Roman" w:hAnsi="Simplified Arabic" w:cs="Simplified Arabic"/>
          <w:kern w:val="0"/>
          <w:sz w:val="26"/>
          <w:szCs w:val="26"/>
          <w14:ligatures w14:val="none"/>
        </w:rPr>
        <w:t xml:space="preserve"> (World Bank, 2023). </w:t>
      </w:r>
      <w:r w:rsidRPr="0089215B">
        <w:rPr>
          <w:rFonts w:ascii="Simplified Arabic" w:eastAsia="Times New Roman" w:hAnsi="Simplified Arabic" w:cs="Simplified Arabic"/>
          <w:kern w:val="0"/>
          <w:sz w:val="26"/>
          <w:szCs w:val="26"/>
          <w:rtl/>
          <w14:ligatures w14:val="none"/>
        </w:rPr>
        <w:t>وهذا يثير سؤالاً أساسياً: هل تقدم معلومات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في مصر قيمة حقيقية للمستثمرين، أم أنها تستخدم بشكل أساس</w:t>
      </w:r>
      <w:bookmarkStart w:id="0" w:name="_Hlk214887024"/>
      <w:r w:rsidRPr="0089215B">
        <w:rPr>
          <w:rFonts w:ascii="Simplified Arabic" w:eastAsia="Times New Roman" w:hAnsi="Simplified Arabic" w:cs="Simplified Arabic"/>
          <w:kern w:val="0"/>
          <w:sz w:val="26"/>
          <w:szCs w:val="26"/>
          <w:rtl/>
          <w14:ligatures w14:val="none"/>
        </w:rPr>
        <w:t>ي</w:t>
      </w:r>
      <w:bookmarkEnd w:id="0"/>
      <w:r w:rsidRPr="0089215B">
        <w:rPr>
          <w:rFonts w:ascii="Simplified Arabic" w:eastAsia="Times New Roman" w:hAnsi="Simplified Arabic" w:cs="Simplified Arabic"/>
          <w:kern w:val="0"/>
          <w:sz w:val="26"/>
          <w:szCs w:val="26"/>
          <w:rtl/>
          <w14:ligatures w14:val="none"/>
        </w:rPr>
        <w:t xml:space="preserve"> كأداة للإشارة إلى السمعة والشرعية؟</w:t>
      </w:r>
    </w:p>
    <w:p w14:paraId="5D4FAC39"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r w:rsidRPr="0089215B">
        <w:rPr>
          <w:rFonts w:ascii="Simplified Arabic" w:eastAsia="Times New Roman" w:hAnsi="Simplified Arabic" w:cs="Simplified Arabic"/>
          <w:kern w:val="0"/>
          <w:sz w:val="26"/>
          <w:szCs w:val="26"/>
          <w:rtl/>
          <w14:ligatures w14:val="none"/>
        </w:rPr>
        <w:lastRenderedPageBreak/>
        <w:t>بناءً على ذلك، تهدف هذه الدراسة إلى فحص ما إذا كانت ممارسات التجميل البيئي في تقارير</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والتي تقاس من خلال الإفصاح الانتقائي، والتلاعب التعبيري، ومستوى الغ</w:t>
      </w:r>
      <w:r w:rsidRPr="0089215B">
        <w:rPr>
          <w:rFonts w:ascii="Simplified Arabic" w:eastAsia="Times New Roman" w:hAnsi="Simplified Arabic" w:cs="Simplified Arabic"/>
          <w:kern w:val="0"/>
          <w:sz w:val="26"/>
          <w:szCs w:val="26"/>
          <w:rtl/>
          <w:lang w:bidi="ar-EG"/>
          <w14:ligatures w14:val="none"/>
        </w:rPr>
        <w:t>سل الأخضر</w:t>
      </w:r>
      <w:r w:rsidRPr="0089215B">
        <w:rPr>
          <w:rFonts w:ascii="Simplified Arabic" w:eastAsia="Times New Roman" w:hAnsi="Simplified Arabic" w:cs="Simplified Arabic"/>
          <w:kern w:val="0"/>
          <w:sz w:val="26"/>
          <w:szCs w:val="26"/>
          <w:rtl/>
          <w14:ligatures w14:val="none"/>
        </w:rPr>
        <w:t xml:space="preserve"> </w:t>
      </w:r>
      <w:proofErr w:type="spellStart"/>
      <w:r w:rsidRPr="0089215B">
        <w:rPr>
          <w:rFonts w:ascii="Simplified Arabic" w:eastAsia="Times New Roman" w:hAnsi="Simplified Arabic" w:cs="Simplified Arabic"/>
          <w:kern w:val="0"/>
          <w:sz w:val="26"/>
          <w:szCs w:val="26"/>
          <w14:ligatures w14:val="none"/>
        </w:rPr>
        <w:t>الكلي</w:t>
      </w:r>
      <w:proofErr w:type="spellEnd"/>
      <w:r w:rsidRPr="0089215B">
        <w:rPr>
          <w:rFonts w:ascii="Simplified Arabic" w:eastAsia="Times New Roman" w:hAnsi="Simplified Arabic" w:cs="Simplified Arabic"/>
          <w:kern w:val="0"/>
          <w:sz w:val="26"/>
          <w:szCs w:val="26"/>
          <w:rtl/>
          <w14:ligatures w14:val="none"/>
        </w:rPr>
        <w:t xml:space="preserve"> – تضلل المستثمرين في سوق رأس المال المصري. ومن خلال تحليل تأثير هذه الممارسات على قرارات المستثمرين، تسعى الدراسة إلى المساهمة في الأدلة التجريبية المحدودة من الأسواق الناشئة، وتقديم رؤى عملية للجهات التنظيمية والمستثمرين والمديرين التنفيذيين. كما توسع الدراسة الأدبيات الخاصة بجودة الإفصاح عن</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 xml:space="preserve">من خلال تسليط الضوء على عواقب التحيز المعلوماتي في تقارير الاستدامة على ثقة السوق وملاءمة القيمة. </w:t>
      </w:r>
    </w:p>
    <w:p w14:paraId="548EDFA5"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b/>
          <w:bCs/>
          <w:kern w:val="0"/>
          <w:sz w:val="28"/>
          <w:szCs w:val="28"/>
          <w14:ligatures w14:val="none"/>
        </w:rPr>
      </w:pPr>
      <w:proofErr w:type="spellStart"/>
      <w:r w:rsidRPr="0089215B">
        <w:rPr>
          <w:rFonts w:ascii="Simplified Arabic" w:eastAsiaTheme="minorEastAsia" w:hAnsi="Simplified Arabic" w:cs="Simplified Arabic"/>
          <w:b/>
          <w:bCs/>
          <w:kern w:val="0"/>
          <w:sz w:val="28"/>
          <w:szCs w:val="28"/>
          <w14:ligatures w14:val="none"/>
        </w:rPr>
        <w:t>حدود</w:t>
      </w:r>
      <w:proofErr w:type="spellEnd"/>
      <w:r w:rsidRPr="0089215B">
        <w:rPr>
          <w:rFonts w:ascii="Simplified Arabic" w:eastAsiaTheme="minorEastAsia" w:hAnsi="Simplified Arabic" w:cs="Simplified Arabic"/>
          <w:b/>
          <w:bCs/>
          <w:kern w:val="0"/>
          <w:sz w:val="28"/>
          <w:szCs w:val="28"/>
          <w14:ligatures w14:val="none"/>
        </w:rPr>
        <w:t xml:space="preserve"> </w:t>
      </w:r>
      <w:proofErr w:type="spellStart"/>
      <w:r w:rsidRPr="0089215B">
        <w:rPr>
          <w:rFonts w:ascii="Simplified Arabic" w:eastAsiaTheme="minorEastAsia" w:hAnsi="Simplified Arabic" w:cs="Simplified Arabic"/>
          <w:b/>
          <w:bCs/>
          <w:kern w:val="0"/>
          <w:sz w:val="28"/>
          <w:szCs w:val="28"/>
          <w14:ligatures w14:val="none"/>
        </w:rPr>
        <w:t>البحث</w:t>
      </w:r>
      <w:proofErr w:type="spellEnd"/>
      <w:r w:rsidRPr="0089215B">
        <w:rPr>
          <w:rFonts w:ascii="Simplified Arabic" w:eastAsiaTheme="minorEastAsia" w:hAnsi="Simplified Arabic" w:cs="Simplified Arabic" w:hint="cs"/>
          <w:b/>
          <w:bCs/>
          <w:kern w:val="0"/>
          <w:sz w:val="28"/>
          <w:szCs w:val="28"/>
          <w:rtl/>
          <w14:ligatures w14:val="none"/>
        </w:rPr>
        <w:t>:</w:t>
      </w:r>
    </w:p>
    <w:p w14:paraId="0826AE16"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تركز هذه الدراسة على الشركات غير المالية المدرجة في البورصة المصرية، وتشمل الإفصاحات المتعلقة بالاستدامة المتاحة خلال الفترة من 2022 إلى 2024. ويتم قياس الغسل الأخضر من خلال الجمع بين تحليل نصوص الإفصاحات وبيانات</w:t>
      </w:r>
      <w:r w:rsidRPr="0089215B">
        <w:rPr>
          <w:rFonts w:ascii="Simplified Arabic" w:eastAsia="Times New Roman" w:hAnsi="Simplified Arabic" w:cs="Simplified Arabic"/>
          <w:kern w:val="0"/>
          <w:sz w:val="26"/>
          <w:szCs w:val="26"/>
          <w14:ligatures w14:val="none"/>
        </w:rPr>
        <w:t xml:space="preserve"> Refinitiv. </w:t>
      </w:r>
      <w:r w:rsidRPr="0089215B">
        <w:rPr>
          <w:rFonts w:ascii="Simplified Arabic" w:eastAsia="Times New Roman" w:hAnsi="Simplified Arabic" w:cs="Simplified Arabic"/>
          <w:kern w:val="0"/>
          <w:sz w:val="26"/>
          <w:szCs w:val="26"/>
          <w:rtl/>
          <w14:ligatures w14:val="none"/>
        </w:rPr>
        <w:t>ولتقييم العلاقة بين ممارسات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ونتائج السوق، تستخدم الدراسة نموذج القيمة الملاءمة لـ</w:t>
      </w:r>
      <w:r w:rsidRPr="0089215B">
        <w:rPr>
          <w:rFonts w:ascii="Simplified Arabic" w:eastAsia="Times New Roman" w:hAnsi="Simplified Arabic" w:cs="Simplified Arabic"/>
          <w:kern w:val="0"/>
          <w:sz w:val="26"/>
          <w:szCs w:val="26"/>
          <w14:ligatures w14:val="none"/>
        </w:rPr>
        <w:t xml:space="preserve"> Ohlson (1995)</w:t>
      </w:r>
      <w:r w:rsidRPr="0089215B">
        <w:rPr>
          <w:rFonts w:ascii="Simplified Arabic" w:eastAsia="Times New Roman" w:hAnsi="Simplified Arabic" w:cs="Simplified Arabic"/>
          <w:kern w:val="0"/>
          <w:sz w:val="26"/>
          <w:szCs w:val="26"/>
          <w:rtl/>
          <w14:ligatures w14:val="none"/>
        </w:rPr>
        <w:t>، مما يوفر إطارًا متينًا لتقدير القيمة المعلوماتية لتقارير الاستدامة للشركات</w:t>
      </w:r>
      <w:r w:rsidRPr="0089215B">
        <w:rPr>
          <w:rFonts w:ascii="Simplified Arabic" w:eastAsia="Times New Roman" w:hAnsi="Simplified Arabic" w:cs="Simplified Arabic"/>
          <w:kern w:val="0"/>
          <w:sz w:val="26"/>
          <w:szCs w:val="26"/>
          <w14:ligatures w14:val="none"/>
        </w:rPr>
        <w:t>.</w:t>
      </w:r>
    </w:p>
    <w:p w14:paraId="4EF1401B" w14:textId="77777777" w:rsidR="0089215B" w:rsidRPr="0089215B" w:rsidRDefault="0089215B" w:rsidP="0089215B">
      <w:pPr>
        <w:bidi/>
        <w:spacing w:after="200" w:line="276" w:lineRule="auto"/>
        <w:rPr>
          <w:rFonts w:ascii="Simplified Arabic" w:eastAsia="Times New Roman" w:hAnsi="Simplified Arabic" w:cs="Simplified Arabic"/>
          <w:b/>
          <w:bCs/>
          <w:kern w:val="0"/>
          <w:sz w:val="28"/>
          <w:szCs w:val="28"/>
          <w14:ligatures w14:val="none"/>
        </w:rPr>
      </w:pPr>
      <w:proofErr w:type="spellStart"/>
      <w:r w:rsidRPr="0089215B">
        <w:rPr>
          <w:rFonts w:ascii="Simplified Arabic" w:eastAsia="Times New Roman" w:hAnsi="Simplified Arabic" w:cs="Simplified Arabic"/>
          <w:b/>
          <w:bCs/>
          <w:kern w:val="0"/>
          <w:sz w:val="28"/>
          <w:szCs w:val="28"/>
          <w14:ligatures w14:val="none"/>
        </w:rPr>
        <w:t>فروض</w:t>
      </w:r>
      <w:proofErr w:type="spellEnd"/>
      <w:r w:rsidRPr="0089215B">
        <w:rPr>
          <w:rFonts w:ascii="Simplified Arabic" w:eastAsia="Times New Roman" w:hAnsi="Simplified Arabic" w:cs="Simplified Arabic"/>
          <w:b/>
          <w:bCs/>
          <w:kern w:val="0"/>
          <w:sz w:val="28"/>
          <w:szCs w:val="28"/>
          <w14:ligatures w14:val="none"/>
        </w:rPr>
        <w:t xml:space="preserve"> </w:t>
      </w:r>
      <w:proofErr w:type="spellStart"/>
      <w:r w:rsidRPr="0089215B">
        <w:rPr>
          <w:rFonts w:ascii="Simplified Arabic" w:eastAsia="Times New Roman" w:hAnsi="Simplified Arabic" w:cs="Simplified Arabic"/>
          <w:b/>
          <w:bCs/>
          <w:kern w:val="0"/>
          <w:sz w:val="28"/>
          <w:szCs w:val="28"/>
          <w14:ligatures w14:val="none"/>
        </w:rPr>
        <w:t>البحث</w:t>
      </w:r>
      <w:proofErr w:type="spellEnd"/>
      <w:r w:rsidRPr="0089215B">
        <w:rPr>
          <w:rFonts w:ascii="Simplified Arabic" w:eastAsia="Times New Roman" w:hAnsi="Simplified Arabic" w:cs="Simplified Arabic" w:hint="cs"/>
          <w:b/>
          <w:bCs/>
          <w:kern w:val="0"/>
          <w:sz w:val="28"/>
          <w:szCs w:val="28"/>
          <w:rtl/>
          <w14:ligatures w14:val="none"/>
        </w:rPr>
        <w:t>:</w:t>
      </w:r>
    </w:p>
    <w:p w14:paraId="18353BE7"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الفرض الأول</w:t>
      </w:r>
      <w:r w:rsidRPr="0089215B">
        <w:rPr>
          <w:rFonts w:ascii="Simplified Arabic" w:eastAsia="Times New Roman" w:hAnsi="Simplified Arabic" w:cs="Simplified Arabic"/>
          <w:b/>
          <w:bCs/>
          <w:kern w:val="0"/>
          <w:sz w:val="26"/>
          <w:szCs w:val="26"/>
          <w14:ligatures w14:val="none"/>
        </w:rPr>
        <w:t xml:space="preserve"> (H1):</w:t>
      </w:r>
      <w:r w:rsidRPr="0089215B">
        <w:rPr>
          <w:rFonts w:ascii="Simplified Arabic" w:eastAsia="Times New Roman" w:hAnsi="Simplified Arabic" w:cs="Simplified Arabic"/>
          <w:kern w:val="0"/>
          <w:sz w:val="26"/>
          <w:szCs w:val="26"/>
          <w14:ligatures w14:val="none"/>
        </w:rPr>
        <w:t xml:space="preserve"> </w:t>
      </w:r>
      <w:r w:rsidRPr="0089215B">
        <w:rPr>
          <w:rFonts w:ascii="Simplified Arabic" w:eastAsia="Times New Roman" w:hAnsi="Simplified Arabic" w:cs="Simplified Arabic"/>
          <w:kern w:val="0"/>
          <w:sz w:val="26"/>
          <w:szCs w:val="26"/>
          <w:rtl/>
          <w14:ligatures w14:val="none"/>
        </w:rPr>
        <w:t>يوجد تأثير سلبي ذو دلالة إحصائية للإفصاح الانتقائي في تقارير</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على قرارات المستثمرين</w:t>
      </w:r>
      <w:r w:rsidRPr="0089215B">
        <w:rPr>
          <w:rFonts w:ascii="Simplified Arabic" w:eastAsia="Times New Roman" w:hAnsi="Simplified Arabic" w:cs="Simplified Arabic"/>
          <w:kern w:val="0"/>
          <w:sz w:val="26"/>
          <w:szCs w:val="26"/>
          <w14:ligatures w14:val="none"/>
        </w:rPr>
        <w:t>.</w:t>
      </w:r>
    </w:p>
    <w:p w14:paraId="4D47DC91"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الفرض الثاني</w:t>
      </w:r>
      <w:r w:rsidRPr="0089215B">
        <w:rPr>
          <w:rFonts w:ascii="Simplified Arabic" w:eastAsia="Times New Roman" w:hAnsi="Simplified Arabic" w:cs="Simplified Arabic"/>
          <w:b/>
          <w:bCs/>
          <w:kern w:val="0"/>
          <w:sz w:val="26"/>
          <w:szCs w:val="26"/>
          <w14:ligatures w14:val="none"/>
        </w:rPr>
        <w:t xml:space="preserve"> (H2):</w:t>
      </w:r>
      <w:r w:rsidRPr="0089215B">
        <w:rPr>
          <w:rFonts w:ascii="Simplified Arabic" w:eastAsia="Times New Roman" w:hAnsi="Simplified Arabic" w:cs="Simplified Arabic"/>
          <w:kern w:val="0"/>
          <w:sz w:val="26"/>
          <w:szCs w:val="26"/>
          <w14:ligatures w14:val="none"/>
        </w:rPr>
        <w:t xml:space="preserve"> </w:t>
      </w:r>
      <w:r w:rsidRPr="0089215B">
        <w:rPr>
          <w:rFonts w:ascii="Simplified Arabic" w:eastAsia="Times New Roman" w:hAnsi="Simplified Arabic" w:cs="Simplified Arabic"/>
          <w:kern w:val="0"/>
          <w:sz w:val="26"/>
          <w:szCs w:val="26"/>
          <w:rtl/>
          <w14:ligatures w14:val="none"/>
        </w:rPr>
        <w:t>يوجد تأثير سلبي ذو دلالة إحصائية للتلاعب التعبيري في تقارير</w:t>
      </w:r>
      <w:r w:rsidRPr="0089215B">
        <w:rPr>
          <w:rFonts w:ascii="Simplified Arabic" w:eastAsia="Times New Roman" w:hAnsi="Simplified Arabic" w:cs="Simplified Arabic"/>
          <w:kern w:val="0"/>
          <w:sz w:val="26"/>
          <w:szCs w:val="26"/>
          <w14:ligatures w14:val="none"/>
        </w:rPr>
        <w:t xml:space="preserve"> ESG (GWLE) </w:t>
      </w:r>
      <w:r w:rsidRPr="0089215B">
        <w:rPr>
          <w:rFonts w:ascii="Simplified Arabic" w:eastAsia="Times New Roman" w:hAnsi="Simplified Arabic" w:cs="Simplified Arabic"/>
          <w:kern w:val="0"/>
          <w:sz w:val="26"/>
          <w:szCs w:val="26"/>
          <w:rtl/>
          <w14:ligatures w14:val="none"/>
        </w:rPr>
        <w:t>على قرارات المستثمرين</w:t>
      </w:r>
      <w:r w:rsidRPr="0089215B">
        <w:rPr>
          <w:rFonts w:ascii="Simplified Arabic" w:eastAsia="Times New Roman" w:hAnsi="Simplified Arabic" w:cs="Simplified Arabic"/>
          <w:kern w:val="0"/>
          <w:sz w:val="26"/>
          <w:szCs w:val="26"/>
          <w14:ligatures w14:val="none"/>
        </w:rPr>
        <w:t>.</w:t>
      </w:r>
    </w:p>
    <w:p w14:paraId="58E583BC"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r w:rsidRPr="0089215B">
        <w:rPr>
          <w:rFonts w:ascii="Simplified Arabic" w:eastAsia="Times New Roman" w:hAnsi="Simplified Arabic" w:cs="Simplified Arabic"/>
          <w:b/>
          <w:bCs/>
          <w:kern w:val="0"/>
          <w:sz w:val="26"/>
          <w:szCs w:val="26"/>
          <w:rtl/>
          <w14:ligatures w14:val="none"/>
        </w:rPr>
        <w:t>الفرض الثالث</w:t>
      </w:r>
      <w:r w:rsidRPr="0089215B">
        <w:rPr>
          <w:rFonts w:ascii="Simplified Arabic" w:eastAsia="Times New Roman" w:hAnsi="Simplified Arabic" w:cs="Simplified Arabic"/>
          <w:b/>
          <w:bCs/>
          <w:kern w:val="0"/>
          <w:sz w:val="26"/>
          <w:szCs w:val="26"/>
          <w14:ligatures w14:val="none"/>
        </w:rPr>
        <w:t xml:space="preserve"> (H3):</w:t>
      </w:r>
      <w:r w:rsidRPr="0089215B">
        <w:rPr>
          <w:rFonts w:ascii="Simplified Arabic" w:eastAsia="Times New Roman" w:hAnsi="Simplified Arabic" w:cs="Simplified Arabic"/>
          <w:kern w:val="0"/>
          <w:sz w:val="26"/>
          <w:szCs w:val="26"/>
          <w14:ligatures w14:val="none"/>
        </w:rPr>
        <w:t xml:space="preserve"> </w:t>
      </w:r>
      <w:r w:rsidRPr="0089215B">
        <w:rPr>
          <w:rFonts w:ascii="Simplified Arabic" w:eastAsia="Times New Roman" w:hAnsi="Simplified Arabic" w:cs="Simplified Arabic"/>
          <w:kern w:val="0"/>
          <w:sz w:val="26"/>
          <w:szCs w:val="26"/>
          <w:rtl/>
          <w14:ligatures w14:val="none"/>
        </w:rPr>
        <w:t>يوجد تأثير سلبي ذو دلالة إحصائية لمستوى الغسل الأخضر الكلي في تقارير</w:t>
      </w:r>
      <w:r w:rsidRPr="0089215B">
        <w:rPr>
          <w:rFonts w:ascii="Simplified Arabic" w:eastAsia="Times New Roman" w:hAnsi="Simplified Arabic" w:cs="Simplified Arabic"/>
          <w:kern w:val="0"/>
          <w:sz w:val="26"/>
          <w:szCs w:val="26"/>
          <w14:ligatures w14:val="none"/>
        </w:rPr>
        <w:t xml:space="preserve"> ESG (GWL) </w:t>
      </w:r>
      <w:r w:rsidRPr="0089215B">
        <w:rPr>
          <w:rFonts w:ascii="Simplified Arabic" w:eastAsia="Times New Roman" w:hAnsi="Simplified Arabic" w:cs="Simplified Arabic"/>
          <w:kern w:val="0"/>
          <w:sz w:val="26"/>
          <w:szCs w:val="26"/>
          <w:rtl/>
          <w14:ligatures w14:val="none"/>
        </w:rPr>
        <w:t>على قرارات المستثمرين</w:t>
      </w:r>
      <w:r w:rsidRPr="0089215B">
        <w:rPr>
          <w:rFonts w:ascii="Simplified Arabic" w:eastAsia="Times New Roman" w:hAnsi="Simplified Arabic" w:cs="Simplified Arabic"/>
          <w:kern w:val="0"/>
          <w:sz w:val="26"/>
          <w:szCs w:val="26"/>
          <w14:ligatures w14:val="none"/>
        </w:rPr>
        <w:t>.</w:t>
      </w:r>
    </w:p>
    <w:p w14:paraId="77FBB410"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p>
    <w:p w14:paraId="0E37B1D1" w14:textId="77777777" w:rsid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p>
    <w:p w14:paraId="791EF250" w14:textId="77777777" w:rsidR="00AE370B" w:rsidRPr="0089215B" w:rsidRDefault="00AE370B" w:rsidP="00AE370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p>
    <w:p w14:paraId="09AD56E7" w14:textId="77777777" w:rsidR="0089215B" w:rsidRPr="0089215B" w:rsidRDefault="0089215B" w:rsidP="0089215B">
      <w:pPr>
        <w:bidi/>
        <w:spacing w:after="200" w:line="276" w:lineRule="auto"/>
        <w:rPr>
          <w:rFonts w:ascii="Simplified Arabic" w:eastAsiaTheme="minorEastAsia" w:hAnsi="Simplified Arabic" w:cs="Simplified Arabic"/>
          <w:kern w:val="0"/>
          <w:sz w:val="28"/>
          <w:szCs w:val="28"/>
          <w14:ligatures w14:val="none"/>
        </w:rPr>
      </w:pPr>
      <w:r w:rsidRPr="0089215B">
        <w:rPr>
          <w:rFonts w:ascii="Simplified Arabic" w:eastAsia="Times New Roman" w:hAnsi="Simplified Arabic" w:cs="Simplified Arabic"/>
          <w:b/>
          <w:bCs/>
          <w:kern w:val="0"/>
          <w:sz w:val="28"/>
          <w:szCs w:val="28"/>
          <w:rtl/>
          <w14:ligatures w14:val="none"/>
        </w:rPr>
        <w:lastRenderedPageBreak/>
        <w:t>نتائج البحث</w:t>
      </w:r>
      <w:r w:rsidRPr="0089215B">
        <w:rPr>
          <w:rFonts w:ascii="Simplified Arabic" w:eastAsia="Times New Roman" w:hAnsi="Simplified Arabic" w:cs="Simplified Arabic" w:hint="cs"/>
          <w:b/>
          <w:bCs/>
          <w:kern w:val="0"/>
          <w:sz w:val="28"/>
          <w:szCs w:val="28"/>
          <w:rtl/>
          <w14:ligatures w14:val="none"/>
        </w:rPr>
        <w:t>:</w:t>
      </w:r>
    </w:p>
    <w:p w14:paraId="59EB8354"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rtl/>
          <w:lang w:bidi="ar-EG"/>
          <w14:ligatures w14:val="none"/>
        </w:rPr>
      </w:pPr>
      <w:r w:rsidRPr="0089215B">
        <w:rPr>
          <w:rFonts w:ascii="Simplified Arabic" w:eastAsia="Times New Roman" w:hAnsi="Simplified Arabic" w:cs="Simplified Arabic"/>
          <w:kern w:val="0"/>
          <w:sz w:val="26"/>
          <w:szCs w:val="26"/>
          <w:rtl/>
          <w14:ligatures w14:val="none"/>
        </w:rPr>
        <w:t>يركّز هذا البحث على ما إذا كانت ممارسات الغسل الأخضر في تقارير الحوكمة البيئية والاجتماعية وحوكمة الشركات</w:t>
      </w:r>
      <w:r w:rsidRPr="0089215B">
        <w:rPr>
          <w:rFonts w:ascii="Simplified Arabic" w:eastAsia="Times New Roman" w:hAnsi="Simplified Arabic" w:cs="Simplified Arabic"/>
          <w:kern w:val="0"/>
          <w:sz w:val="26"/>
          <w:szCs w:val="26"/>
          <w14:ligatures w14:val="none"/>
        </w:rPr>
        <w:t xml:space="preserve"> (ESG)</w:t>
      </w:r>
      <w:r w:rsidRPr="0089215B">
        <w:rPr>
          <w:rFonts w:ascii="Simplified Arabic" w:eastAsia="Times New Roman" w:hAnsi="Simplified Arabic" w:cs="Simplified Arabic"/>
          <w:kern w:val="0"/>
          <w:sz w:val="26"/>
          <w:szCs w:val="26"/>
          <w:rtl/>
          <w14:ligatures w14:val="none"/>
        </w:rPr>
        <w:t xml:space="preserve">، وبشكل خاص الإفصاح الانتقائي والتلاعب التعبيري، تضلّل المستثمرين وتؤثر على قراراتهم في سوق رأس المال المصري. وباستخدام عينة مكوّنة من 180 مشاهدة لشركات مدرجة في البورصة المصرية، وتطبيق نموذج الملاءمة القيمية لـ </w:t>
      </w:r>
      <w:r w:rsidRPr="0089215B">
        <w:rPr>
          <w:rFonts w:ascii="Simplified Arabic" w:eastAsia="Times New Roman" w:hAnsi="Simplified Arabic" w:cs="Simplified Arabic"/>
          <w:b/>
          <w:bCs/>
          <w:kern w:val="0"/>
          <w:sz w:val="26"/>
          <w:szCs w:val="26"/>
          <w14:ligatures w14:val="none"/>
        </w:rPr>
        <w:t>Ohlson (1995)</w:t>
      </w:r>
      <w:r w:rsidRPr="0089215B">
        <w:rPr>
          <w:rFonts w:ascii="Simplified Arabic" w:eastAsia="Times New Roman" w:hAnsi="Simplified Arabic" w:cs="Simplified Arabic"/>
          <w:kern w:val="0"/>
          <w:sz w:val="26"/>
          <w:szCs w:val="26"/>
          <w:rtl/>
          <w14:ligatures w14:val="none"/>
        </w:rPr>
        <w:t>، اختبر البحث تأثير ثلاثة أبعاد للغسل الأخضر</w:t>
      </w:r>
      <w:r w:rsidRPr="0089215B">
        <w:rPr>
          <w:rFonts w:ascii="Simplified Arabic" w:eastAsia="Times New Roman" w:hAnsi="Simplified Arabic" w:cs="Simplified Arabic"/>
          <w:kern w:val="0"/>
          <w:sz w:val="26"/>
          <w:szCs w:val="26"/>
          <w14:ligatures w14:val="none"/>
        </w:rPr>
        <w:t xml:space="preserve"> (GWLS </w:t>
      </w:r>
      <w:r w:rsidRPr="0089215B">
        <w:rPr>
          <w:rFonts w:ascii="Simplified Arabic" w:eastAsia="Times New Roman" w:hAnsi="Simplified Arabic" w:cs="Simplified Arabic"/>
          <w:kern w:val="0"/>
          <w:sz w:val="26"/>
          <w:szCs w:val="26"/>
          <w:rtl/>
          <w14:ligatures w14:val="none"/>
        </w:rPr>
        <w:t>و</w:t>
      </w:r>
      <w:r w:rsidRPr="0089215B">
        <w:rPr>
          <w:rFonts w:ascii="Simplified Arabic" w:eastAsia="Times New Roman" w:hAnsi="Simplified Arabic" w:cs="Simplified Arabic"/>
          <w:kern w:val="0"/>
          <w:sz w:val="26"/>
          <w:szCs w:val="26"/>
          <w14:ligatures w14:val="none"/>
        </w:rPr>
        <w:t xml:space="preserve">GWLE </w:t>
      </w:r>
      <w:r w:rsidRPr="0089215B">
        <w:rPr>
          <w:rFonts w:ascii="Simplified Arabic" w:eastAsia="Times New Roman" w:hAnsi="Simplified Arabic" w:cs="Simplified Arabic"/>
          <w:kern w:val="0"/>
          <w:sz w:val="26"/>
          <w:szCs w:val="26"/>
          <w:rtl/>
          <w14:ligatures w14:val="none"/>
        </w:rPr>
        <w:t>والمستوى الكلي المجمّع للغسل الأخضر</w:t>
      </w:r>
      <w:r w:rsidRPr="0089215B">
        <w:rPr>
          <w:rFonts w:ascii="Simplified Arabic" w:eastAsia="Times New Roman" w:hAnsi="Simplified Arabic" w:cs="Simplified Arabic"/>
          <w:kern w:val="0"/>
          <w:sz w:val="26"/>
          <w:szCs w:val="26"/>
          <w14:ligatures w14:val="none"/>
        </w:rPr>
        <w:t xml:space="preserve"> GWL) </w:t>
      </w:r>
      <w:r w:rsidRPr="0089215B">
        <w:rPr>
          <w:rFonts w:ascii="Simplified Arabic" w:eastAsia="Times New Roman" w:hAnsi="Simplified Arabic" w:cs="Simplified Arabic"/>
          <w:kern w:val="0"/>
          <w:sz w:val="26"/>
          <w:szCs w:val="26"/>
          <w:rtl/>
          <w14:ligatures w14:val="none"/>
        </w:rPr>
        <w:t>على قرارات المستثمرين، والتي قيست من خلال سعر السهم وربحية السهم</w:t>
      </w:r>
      <w:r w:rsidRPr="0089215B">
        <w:rPr>
          <w:rFonts w:ascii="Simplified Arabic" w:eastAsia="Times New Roman" w:hAnsi="Simplified Arabic" w:cs="Simplified Arabic"/>
          <w:kern w:val="0"/>
          <w:sz w:val="26"/>
          <w:szCs w:val="26"/>
          <w14:ligatures w14:val="none"/>
        </w:rPr>
        <w:t xml:space="preserve"> (EPS) </w:t>
      </w:r>
      <w:r w:rsidRPr="0089215B">
        <w:rPr>
          <w:rFonts w:ascii="Simplified Arabic" w:eastAsia="Times New Roman" w:hAnsi="Simplified Arabic" w:cs="Simplified Arabic"/>
          <w:kern w:val="0"/>
          <w:sz w:val="26"/>
          <w:szCs w:val="26"/>
          <w:rtl/>
          <w14:ligatures w14:val="none"/>
        </w:rPr>
        <w:t>والقيمة الدفترية للسهم</w:t>
      </w:r>
      <w:r w:rsidRPr="0089215B">
        <w:rPr>
          <w:rFonts w:ascii="Simplified Arabic" w:eastAsia="Times New Roman" w:hAnsi="Simplified Arabic" w:cs="Simplified Arabic"/>
          <w:kern w:val="0"/>
          <w:sz w:val="26"/>
          <w:szCs w:val="26"/>
          <w14:ligatures w14:val="none"/>
        </w:rPr>
        <w:t xml:space="preserve"> (BVPS) </w:t>
      </w:r>
      <w:r w:rsidRPr="0089215B">
        <w:rPr>
          <w:rFonts w:ascii="Simplified Arabic" w:eastAsia="Times New Roman" w:hAnsi="Simplified Arabic" w:cs="Simplified Arabic"/>
          <w:kern w:val="0"/>
          <w:sz w:val="26"/>
          <w:szCs w:val="26"/>
          <w:rtl/>
          <w:lang w:bidi="ar-EG"/>
          <w14:ligatures w14:val="none"/>
        </w:rPr>
        <w:t>.</w:t>
      </w:r>
    </w:p>
    <w:p w14:paraId="3B1A1C2F"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تشير الأدلة التجريبية إلى أن ارتفاع درجات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يرتبط إيجابياً بالأداء الظاهري، لكنه يرتبط سلبياً بالأداء الحقيقي، مما يعني أن الشركات ذات التصنيفات المرتفعة في</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لا تحقق بالضرورة نتائج بيئية أفضل. تحمل هذه النتائج دلالات مهمة للمستثمرين، إذ إن الاعتماد على درجات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فقط قد يزيد من التعرّض لمخاطر الغسل الأخضر بدلاً من تعزيز الأمان الاستثماري. وفي السياق المصري، تثير هذه النتائج توقعاً بأن إفصاحات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قد تكون مفيدة في تشكيل تصورات المستثمرين، لكنها غير كافية لتقديم معلومات ذات فائدة فعلية للقرارات ما لم تُدعَم بآليات تحقق قوية وتدقيق فعّال من قبل المحللين</w:t>
      </w:r>
      <w:r w:rsidRPr="0089215B">
        <w:rPr>
          <w:rFonts w:ascii="Simplified Arabic" w:eastAsia="Times New Roman" w:hAnsi="Simplified Arabic" w:cs="Simplified Arabic"/>
          <w:kern w:val="0"/>
          <w:sz w:val="26"/>
          <w:szCs w:val="26"/>
          <w14:ligatures w14:val="none"/>
        </w:rPr>
        <w:t>.</w:t>
      </w:r>
    </w:p>
    <w:p w14:paraId="73B81BC6"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وتؤكد نتائج البحث الراهن أن ممارسات الغسل الأخضر تضعف من فائدة الإفصاحات المتعلقة بالـ</w:t>
      </w:r>
      <w:r w:rsidRPr="0089215B">
        <w:rPr>
          <w:rFonts w:ascii="Simplified Arabic" w:eastAsia="Times New Roman" w:hAnsi="Simplified Arabic" w:cs="Simplified Arabic"/>
          <w:kern w:val="0"/>
          <w:sz w:val="26"/>
          <w:szCs w:val="26"/>
          <w14:ligatures w14:val="none"/>
        </w:rPr>
        <w:t xml:space="preserve">ESG </w:t>
      </w:r>
      <w:r w:rsidRPr="0089215B">
        <w:rPr>
          <w:rFonts w:ascii="Simplified Arabic" w:eastAsia="Times New Roman" w:hAnsi="Simplified Arabic" w:cs="Simplified Arabic"/>
          <w:kern w:val="0"/>
          <w:sz w:val="26"/>
          <w:szCs w:val="26"/>
          <w:rtl/>
          <w14:ligatures w14:val="none"/>
        </w:rPr>
        <w:t>في دعم قرارات المستثمرين داخل السوق المصري. فعلى الرغم من أن تقارير</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تهدف إلى تعزيز الشفافية والإشارة إلى خلق القيمة على المدى الطويل، فإن الإفصاح المضلّل يضعف ثقة المستثمرين ويقلل من الملاءمة القيمية للمعلومات المحاسبية. ولا يكافئ المستثمرون الإفصاح عن</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عندما يفتقر إلى المصداقية؛ بل يعاقبون الشركات عبر خفض تقييمهم لها. ويتسق هذا مع الأدلة السابقة التي تشير إلى أن تصنيفات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تعتمد غالباً على جودة الإفصاح أكثر من اعتمادها على الأداء البيئي الفعلي</w:t>
      </w:r>
      <w:r w:rsidRPr="0089215B">
        <w:rPr>
          <w:rFonts w:ascii="Simplified Arabic" w:eastAsia="Times New Roman" w:hAnsi="Simplified Arabic" w:cs="Simplified Arabic"/>
          <w:kern w:val="0"/>
          <w:sz w:val="26"/>
          <w:szCs w:val="26"/>
          <w14:ligatures w14:val="none"/>
        </w:rPr>
        <w:t xml:space="preserve"> (Berg et al., 2022; Chatterji et al., 2016; Kathan et al., 2025). </w:t>
      </w:r>
      <w:r w:rsidRPr="0089215B">
        <w:rPr>
          <w:rFonts w:ascii="Simplified Arabic" w:eastAsia="Times New Roman" w:hAnsi="Simplified Arabic" w:cs="Simplified Arabic"/>
          <w:kern w:val="0"/>
          <w:sz w:val="26"/>
          <w:szCs w:val="26"/>
          <w:rtl/>
          <w14:ligatures w14:val="none"/>
        </w:rPr>
        <w:t>وفي الأسواق الناشئة مثل مصر، لا تزال آليات الرقابة التنظيمية والضمان الخارجي في طور التطور، مما يزيد من احتمالية لجوء الشركات إلى الإفصاح الرمزي أو الشكلي</w:t>
      </w:r>
      <w:r w:rsidRPr="0089215B">
        <w:rPr>
          <w:rFonts w:ascii="Simplified Arabic" w:eastAsia="Times New Roman" w:hAnsi="Simplified Arabic" w:cs="Simplified Arabic"/>
          <w:kern w:val="0"/>
          <w:sz w:val="26"/>
          <w:szCs w:val="26"/>
          <w14:ligatures w14:val="none"/>
        </w:rPr>
        <w:t xml:space="preserve"> (</w:t>
      </w:r>
      <w:proofErr w:type="spellStart"/>
      <w:r w:rsidRPr="0089215B">
        <w:rPr>
          <w:rFonts w:ascii="Simplified Arabic" w:eastAsia="Times New Roman" w:hAnsi="Simplified Arabic" w:cs="Simplified Arabic"/>
          <w:kern w:val="0"/>
          <w:sz w:val="26"/>
          <w:szCs w:val="26"/>
          <w14:ligatures w14:val="none"/>
        </w:rPr>
        <w:t>Pimonenko</w:t>
      </w:r>
      <w:proofErr w:type="spellEnd"/>
      <w:r w:rsidRPr="0089215B">
        <w:rPr>
          <w:rFonts w:ascii="Simplified Arabic" w:eastAsia="Times New Roman" w:hAnsi="Simplified Arabic" w:cs="Simplified Arabic"/>
          <w:kern w:val="0"/>
          <w:sz w:val="26"/>
          <w:szCs w:val="26"/>
          <w14:ligatures w14:val="none"/>
        </w:rPr>
        <w:t xml:space="preserve"> et al., 2020; </w:t>
      </w:r>
      <w:proofErr w:type="spellStart"/>
      <w:r w:rsidRPr="0089215B">
        <w:rPr>
          <w:rFonts w:ascii="Simplified Arabic" w:eastAsia="Times New Roman" w:hAnsi="Simplified Arabic" w:cs="Simplified Arabic"/>
          <w:kern w:val="0"/>
          <w:sz w:val="26"/>
          <w:szCs w:val="26"/>
          <w14:ligatures w14:val="none"/>
        </w:rPr>
        <w:t>Dempere</w:t>
      </w:r>
      <w:proofErr w:type="spellEnd"/>
      <w:r w:rsidRPr="0089215B">
        <w:rPr>
          <w:rFonts w:ascii="Simplified Arabic" w:eastAsia="Times New Roman" w:hAnsi="Simplified Arabic" w:cs="Simplified Arabic"/>
          <w:kern w:val="0"/>
          <w:sz w:val="26"/>
          <w:szCs w:val="26"/>
          <w14:ligatures w14:val="none"/>
        </w:rPr>
        <w:t xml:space="preserve"> et al., 2024; FRA, 2022; World Bank, 2023). </w:t>
      </w:r>
      <w:r w:rsidRPr="0089215B">
        <w:rPr>
          <w:rFonts w:ascii="Simplified Arabic" w:eastAsia="Times New Roman" w:hAnsi="Simplified Arabic" w:cs="Simplified Arabic"/>
          <w:kern w:val="0"/>
          <w:sz w:val="26"/>
          <w:szCs w:val="26"/>
          <w:rtl/>
          <w14:ligatures w14:val="none"/>
        </w:rPr>
        <w:t>وبالتالي، قد تؤدي الإفصاحات المستدامة المضلّلة أو غير الخاضعة للتحقق إلى الإضرار بسمعة الشركة وتقليل قيمتها السوقية</w:t>
      </w:r>
      <w:r w:rsidRPr="0089215B">
        <w:rPr>
          <w:rFonts w:ascii="Simplified Arabic" w:eastAsia="Times New Roman" w:hAnsi="Simplified Arabic" w:cs="Simplified Arabic"/>
          <w:kern w:val="0"/>
          <w:sz w:val="26"/>
          <w:szCs w:val="26"/>
          <w14:ligatures w14:val="none"/>
        </w:rPr>
        <w:t xml:space="preserve"> (Li et al., 2018; Gibson Brandon et al., 2022; Yu et al., 2018).</w:t>
      </w:r>
    </w:p>
    <w:p w14:paraId="790E7FED"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lastRenderedPageBreak/>
        <w:t>وباختصار، يمكن لتقارير</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أن تعزز شفافية السوق وتبني الثقة طويلة المدى، ولكن فقط عندما تستند إلى أداء بيئي واجتماعي حقيقي وموثوق. ولجذب الاستثمار المستدام في مصر، يتعين على الجهات التنظيمية والشركات إعطاء الأولوية لجودة الإفصاح وقابليته للمقارنة والتحقق منه. فالقضاء على الغسل الأخضر سيعزز الملاءمة القيمية للمعلومات المحاسبية ويقوّي ثقة السوق، محققاً بذلك الغاية الأساسية من الإفصاح عن الاستدامة</w:t>
      </w:r>
      <w:r w:rsidRPr="0089215B">
        <w:rPr>
          <w:rFonts w:ascii="Simplified Arabic" w:eastAsia="Times New Roman" w:hAnsi="Simplified Arabic" w:cs="Simplified Arabic"/>
          <w:kern w:val="0"/>
          <w:sz w:val="26"/>
          <w:szCs w:val="26"/>
          <w14:ligatures w14:val="none"/>
        </w:rPr>
        <w:t>.</w:t>
      </w:r>
    </w:p>
    <w:p w14:paraId="3C4E90D2"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لقد سعى هذا البحث إلى فحص ما إذا كان الغسل الأخضر في</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يضلل المستثمرين في سوق رأس المال المصري. ومن خلال استخدام قاعدة بيانات شاملة لشركات البورصة المصرية وتطبيق نموذج الملاءمة القيمية لـ</w:t>
      </w:r>
      <w:r w:rsidRPr="0089215B">
        <w:rPr>
          <w:rFonts w:ascii="Simplified Arabic" w:eastAsia="Times New Roman" w:hAnsi="Simplified Arabic" w:cs="Simplified Arabic"/>
          <w:kern w:val="0"/>
          <w:sz w:val="26"/>
          <w:szCs w:val="26"/>
          <w14:ligatures w14:val="none"/>
        </w:rPr>
        <w:t xml:space="preserve"> Ohlson (1995)</w:t>
      </w:r>
      <w:r w:rsidRPr="0089215B">
        <w:rPr>
          <w:rFonts w:ascii="Simplified Arabic" w:eastAsia="Times New Roman" w:hAnsi="Simplified Arabic" w:cs="Simplified Arabic"/>
          <w:kern w:val="0"/>
          <w:sz w:val="26"/>
          <w:szCs w:val="26"/>
          <w:rtl/>
          <w14:ligatures w14:val="none"/>
        </w:rPr>
        <w:t>، توفر النتائج دليلاً متسقاً على أن المستثمرين يعاقبون الشركات التي تنخرط في تواصل استدامي متحيّز أو مبالغ فيه. فقد أظهر كل من الإفصاح الانتقائي والتلاعب التعبيري والغسل الأخضر الكلي تأثيراً سلبياً معنوياً على قرارات المستثمرين، مما يشير إلى أن مصداقية معلومات</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أهم من حجم الإفصاح نفسه</w:t>
      </w:r>
      <w:r w:rsidRPr="0089215B">
        <w:rPr>
          <w:rFonts w:ascii="Simplified Arabic" w:eastAsia="Times New Roman" w:hAnsi="Simplified Arabic" w:cs="Simplified Arabic"/>
          <w:kern w:val="0"/>
          <w:sz w:val="26"/>
          <w:szCs w:val="26"/>
          <w14:ligatures w14:val="none"/>
        </w:rPr>
        <w:t>.</w:t>
      </w:r>
    </w:p>
    <w:p w14:paraId="2D16AD85"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kern w:val="0"/>
          <w:sz w:val="26"/>
          <w:szCs w:val="26"/>
          <w:rtl/>
          <w14:ligatures w14:val="none"/>
        </w:rPr>
        <w:t>وتحمل النتائج عدة انعكاسات مهمة. أولاً، تُظهر أن المستثمرين في مصر ليسوا متلقّين سلبيين لتقارير الاستدامة؛ بل يستجيبون لمستوى الشفافية والموثوقية المتصوَّر. ثانياً، تشير الأدلة إلى أن الغسل الأخضر يُضعِف الدور المفترض لإفصاح</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في تقليل عدم تماثل المعلومات وتعزيز كفاءة سوق رأس المال. ثالثاً، وعلى الرغم من التحسينات الأخيرة في معايير الإفصاح بفضل الإصلاحات التنظيمية، فإن استمرار الغسل الأخضر يشير إلى الحاجة لآليات ضمان أقوى ومقاييس موحّدة وتحقق مستقل من طرف ثالث</w:t>
      </w:r>
      <w:r w:rsidRPr="0089215B">
        <w:rPr>
          <w:rFonts w:ascii="Simplified Arabic" w:eastAsia="Times New Roman" w:hAnsi="Simplified Arabic" w:cs="Simplified Arabic"/>
          <w:kern w:val="0"/>
          <w:sz w:val="26"/>
          <w:szCs w:val="26"/>
          <w14:ligatures w14:val="none"/>
        </w:rPr>
        <w:t>.</w:t>
      </w:r>
    </w:p>
    <w:p w14:paraId="5A0B8A00" w14:textId="77777777" w:rsid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r w:rsidRPr="0089215B">
        <w:rPr>
          <w:rFonts w:ascii="Simplified Arabic" w:eastAsia="Times New Roman" w:hAnsi="Simplified Arabic" w:cs="Simplified Arabic"/>
          <w:kern w:val="0"/>
          <w:sz w:val="26"/>
          <w:szCs w:val="26"/>
          <w:rtl/>
          <w14:ligatures w14:val="none"/>
        </w:rPr>
        <w:t>ويسهم هذا البحث في الأدبيات المتنامية حول الإفصاح عن</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في الأسواق الناشئة من خلال إظهار أن المستثمرين يخصمون قيمة المعلومات المتعلقة بالاستدامة عندما تبدو رمزية أو غير مكتملة. ويمكن للدراسات المستقبلية استكشاف دور التغطية الإعلامية، والمتابعة التحليلية، أو التنظيم القطاعي في كشف الغسل الأخضر والحد منه. وبشكل عام، تبرز النتائج أن الإفصاح عن</w:t>
      </w:r>
      <w:r w:rsidRPr="0089215B">
        <w:rPr>
          <w:rFonts w:ascii="Simplified Arabic" w:eastAsia="Times New Roman" w:hAnsi="Simplified Arabic" w:cs="Simplified Arabic"/>
          <w:kern w:val="0"/>
          <w:sz w:val="26"/>
          <w:szCs w:val="26"/>
          <w14:ligatures w14:val="none"/>
        </w:rPr>
        <w:t xml:space="preserve"> ESG </w:t>
      </w:r>
      <w:r w:rsidRPr="0089215B">
        <w:rPr>
          <w:rFonts w:ascii="Simplified Arabic" w:eastAsia="Times New Roman" w:hAnsi="Simplified Arabic" w:cs="Simplified Arabic"/>
          <w:kern w:val="0"/>
          <w:sz w:val="26"/>
          <w:szCs w:val="26"/>
          <w:rtl/>
          <w14:ligatures w14:val="none"/>
        </w:rPr>
        <w:t>يخلق قيمة فقط عندما يكون شفافاً، قابلاً للتحقق، ومتسقاً مع السلوك الفعلي للشركات. وبدون هذه المصداقية، فإن التقارير المتعلقة بالاستدامة قد تتحول إلى أداة اتصال تُضعف ثقة المستثمرين بدلاً من تعزيزها</w:t>
      </w:r>
      <w:r w:rsidRPr="0089215B">
        <w:rPr>
          <w:rFonts w:ascii="Simplified Arabic" w:eastAsia="Times New Roman" w:hAnsi="Simplified Arabic" w:cs="Simplified Arabic"/>
          <w:kern w:val="0"/>
          <w:sz w:val="26"/>
          <w:szCs w:val="26"/>
          <w14:ligatures w14:val="none"/>
        </w:rPr>
        <w:t>.</w:t>
      </w:r>
    </w:p>
    <w:p w14:paraId="2672E71D" w14:textId="77777777" w:rsidR="00AE370B" w:rsidRDefault="00AE370B" w:rsidP="00AE370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p>
    <w:p w14:paraId="57E28794" w14:textId="77777777" w:rsidR="00AE370B" w:rsidRPr="0089215B" w:rsidRDefault="00AE370B" w:rsidP="00AE370B">
      <w:pPr>
        <w:bidi/>
        <w:spacing w:before="100" w:beforeAutospacing="1" w:after="100" w:afterAutospacing="1" w:line="276" w:lineRule="auto"/>
        <w:jc w:val="both"/>
        <w:rPr>
          <w:rFonts w:ascii="Simplified Arabic" w:eastAsia="Times New Roman" w:hAnsi="Simplified Arabic" w:cs="Simplified Arabic"/>
          <w:kern w:val="0"/>
          <w:sz w:val="26"/>
          <w:szCs w:val="26"/>
          <w:rtl/>
          <w14:ligatures w14:val="none"/>
        </w:rPr>
      </w:pPr>
    </w:p>
    <w:p w14:paraId="07BA152B" w14:textId="77777777" w:rsidR="0089215B" w:rsidRPr="0089215B" w:rsidRDefault="0089215B" w:rsidP="0089215B">
      <w:pPr>
        <w:bidi/>
        <w:spacing w:before="100" w:beforeAutospacing="1" w:after="100" w:afterAutospacing="1" w:line="276" w:lineRule="auto"/>
        <w:jc w:val="both"/>
        <w:rPr>
          <w:rFonts w:ascii="Simplified Arabic" w:eastAsia="Times New Roman" w:hAnsi="Simplified Arabic" w:cs="Simplified Arabic"/>
          <w:kern w:val="0"/>
          <w:sz w:val="28"/>
          <w:szCs w:val="28"/>
          <w14:ligatures w14:val="none"/>
        </w:rPr>
      </w:pPr>
      <w:r w:rsidRPr="0089215B">
        <w:rPr>
          <w:rFonts w:ascii="Simplified Arabic" w:eastAsia="Times New Roman" w:hAnsi="Simplified Arabic" w:cs="Simplified Arabic"/>
          <w:b/>
          <w:bCs/>
          <w:kern w:val="36"/>
          <w:sz w:val="28"/>
          <w:szCs w:val="28"/>
          <w:rtl/>
          <w14:ligatures w14:val="none"/>
        </w:rPr>
        <w:lastRenderedPageBreak/>
        <w:t>التوصيات</w:t>
      </w:r>
      <w:r w:rsidRPr="0089215B">
        <w:rPr>
          <w:rFonts w:ascii="Simplified Arabic" w:eastAsia="Times New Roman" w:hAnsi="Simplified Arabic" w:cs="Simplified Arabic" w:hint="cs"/>
          <w:b/>
          <w:bCs/>
          <w:kern w:val="36"/>
          <w:sz w:val="28"/>
          <w:szCs w:val="28"/>
          <w:rtl/>
          <w14:ligatures w14:val="none"/>
        </w:rPr>
        <w:t>:</w:t>
      </w:r>
      <w:r w:rsidRPr="0089215B">
        <w:rPr>
          <w:rFonts w:ascii="Simplified Arabic" w:eastAsia="Times New Roman" w:hAnsi="Simplified Arabic" w:cs="Simplified Arabic"/>
          <w:b/>
          <w:bCs/>
          <w:kern w:val="36"/>
          <w:sz w:val="28"/>
          <w:szCs w:val="28"/>
          <w:rtl/>
          <w14:ligatures w14:val="none"/>
        </w:rPr>
        <w:t xml:space="preserve"> </w:t>
      </w:r>
    </w:p>
    <w:p w14:paraId="08CACD12" w14:textId="77777777" w:rsidR="0089215B" w:rsidRPr="0089215B" w:rsidRDefault="0089215B" w:rsidP="0089215B">
      <w:pPr>
        <w:numPr>
          <w:ilvl w:val="0"/>
          <w:numId w:val="12"/>
        </w:num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تعزيز الرقابة التنظيمية على تقارير الاستدامة</w:t>
      </w:r>
      <w:r w:rsidRPr="0089215B">
        <w:rPr>
          <w:rFonts w:ascii="Simplified Arabic" w:eastAsia="Times New Roman" w:hAnsi="Simplified Arabic" w:cs="Simplified Arabic"/>
          <w:kern w:val="0"/>
          <w:sz w:val="26"/>
          <w:szCs w:val="26"/>
          <w:rtl/>
          <w14:ligatures w14:val="none"/>
        </w:rPr>
        <w:t xml:space="preserve"> من خلال توسيع دور الجهات الرقابية في مراجعة جودة الإفصاح وتطبيق إجراءات صارمة تحدّ من ممارسات الغسل الأخضر</w:t>
      </w:r>
      <w:r w:rsidRPr="0089215B">
        <w:rPr>
          <w:rFonts w:ascii="Simplified Arabic" w:eastAsia="Times New Roman" w:hAnsi="Simplified Arabic" w:cs="Simplified Arabic"/>
          <w:kern w:val="0"/>
          <w:sz w:val="26"/>
          <w:szCs w:val="26"/>
          <w14:ligatures w14:val="none"/>
        </w:rPr>
        <w:t>.</w:t>
      </w:r>
    </w:p>
    <w:p w14:paraId="6729D2B9" w14:textId="77777777" w:rsidR="0089215B" w:rsidRPr="0089215B" w:rsidRDefault="0089215B" w:rsidP="0089215B">
      <w:pPr>
        <w:numPr>
          <w:ilvl w:val="0"/>
          <w:numId w:val="12"/>
        </w:num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وضع إطار قومي موحّد للإفصاح عن</w:t>
      </w:r>
      <w:r w:rsidRPr="0089215B">
        <w:rPr>
          <w:rFonts w:ascii="Simplified Arabic" w:eastAsia="Times New Roman" w:hAnsi="Simplified Arabic" w:cs="Simplified Arabic"/>
          <w:b/>
          <w:bCs/>
          <w:kern w:val="0"/>
          <w:sz w:val="26"/>
          <w:szCs w:val="26"/>
          <w14:ligatures w14:val="none"/>
        </w:rPr>
        <w:t xml:space="preserve"> ESG</w:t>
      </w:r>
      <w:r w:rsidRPr="0089215B">
        <w:rPr>
          <w:rFonts w:ascii="Simplified Arabic" w:eastAsia="Times New Roman" w:hAnsi="Simplified Arabic" w:cs="Simplified Arabic"/>
          <w:kern w:val="0"/>
          <w:sz w:val="26"/>
          <w:szCs w:val="26"/>
          <w14:ligatures w14:val="none"/>
        </w:rPr>
        <w:t xml:space="preserve"> </w:t>
      </w:r>
      <w:r w:rsidRPr="0089215B">
        <w:rPr>
          <w:rFonts w:ascii="Simplified Arabic" w:eastAsia="Times New Roman" w:hAnsi="Simplified Arabic" w:cs="Simplified Arabic"/>
          <w:kern w:val="0"/>
          <w:sz w:val="26"/>
          <w:szCs w:val="26"/>
          <w:rtl/>
          <w14:ligatures w14:val="none"/>
        </w:rPr>
        <w:t>يضمن اتساق المعلومات وقابليتها للمقارنة بين الشركات، بما يسهم في رفع موثوقية التقارير</w:t>
      </w:r>
      <w:r w:rsidRPr="0089215B">
        <w:rPr>
          <w:rFonts w:ascii="Simplified Arabic" w:eastAsia="Times New Roman" w:hAnsi="Simplified Arabic" w:cs="Simplified Arabic"/>
          <w:kern w:val="0"/>
          <w:sz w:val="26"/>
          <w:szCs w:val="26"/>
          <w14:ligatures w14:val="none"/>
        </w:rPr>
        <w:t>.</w:t>
      </w:r>
    </w:p>
    <w:p w14:paraId="4A860356" w14:textId="77777777" w:rsidR="0089215B" w:rsidRPr="0089215B" w:rsidRDefault="0089215B" w:rsidP="0089215B">
      <w:pPr>
        <w:numPr>
          <w:ilvl w:val="0"/>
          <w:numId w:val="12"/>
        </w:num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إلزام الشركات بالحصول على ضمان خارجي مستقل</w:t>
      </w:r>
      <w:r w:rsidRPr="0089215B">
        <w:rPr>
          <w:rFonts w:ascii="Simplified Arabic" w:eastAsia="Times New Roman" w:hAnsi="Simplified Arabic" w:cs="Simplified Arabic"/>
          <w:kern w:val="0"/>
          <w:sz w:val="26"/>
          <w:szCs w:val="26"/>
          <w:rtl/>
          <w14:ligatures w14:val="none"/>
        </w:rPr>
        <w:t xml:space="preserve"> لتقارير الاستدامة من جهات مراجعة معتمدة، بما يعزز الثقة في مصداقية البيانات المنشورة</w:t>
      </w:r>
      <w:r w:rsidRPr="0089215B">
        <w:rPr>
          <w:rFonts w:ascii="Simplified Arabic" w:eastAsia="Times New Roman" w:hAnsi="Simplified Arabic" w:cs="Simplified Arabic"/>
          <w:kern w:val="0"/>
          <w:sz w:val="26"/>
          <w:szCs w:val="26"/>
          <w14:ligatures w14:val="none"/>
        </w:rPr>
        <w:t>.</w:t>
      </w:r>
    </w:p>
    <w:p w14:paraId="123AC4F3" w14:textId="77777777" w:rsidR="0089215B" w:rsidRPr="0089215B" w:rsidRDefault="0089215B" w:rsidP="0089215B">
      <w:pPr>
        <w:numPr>
          <w:ilvl w:val="0"/>
          <w:numId w:val="12"/>
        </w:num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الالتزام بالإفصاح المتوازن عن المؤشرات الإيجابية والسلبية للاستدامة،</w:t>
      </w:r>
      <w:r w:rsidRPr="0089215B">
        <w:rPr>
          <w:rFonts w:ascii="Simplified Arabic" w:eastAsia="Times New Roman" w:hAnsi="Simplified Arabic" w:cs="Simplified Arabic"/>
          <w:kern w:val="0"/>
          <w:sz w:val="26"/>
          <w:szCs w:val="26"/>
          <w:rtl/>
          <w14:ligatures w14:val="none"/>
        </w:rPr>
        <w:t xml:space="preserve"> بما يمنع الانتقائية في عرض المعلومات ويحد من التلاعب التعبيري</w:t>
      </w:r>
      <w:r w:rsidRPr="0089215B">
        <w:rPr>
          <w:rFonts w:ascii="Simplified Arabic" w:eastAsia="Times New Roman" w:hAnsi="Simplified Arabic" w:cs="Simplified Arabic"/>
          <w:kern w:val="0"/>
          <w:sz w:val="26"/>
          <w:szCs w:val="26"/>
          <w14:ligatures w14:val="none"/>
        </w:rPr>
        <w:t>.</w:t>
      </w:r>
    </w:p>
    <w:p w14:paraId="73A2556C" w14:textId="77777777" w:rsidR="0089215B" w:rsidRPr="0089215B" w:rsidRDefault="0089215B" w:rsidP="0089215B">
      <w:pPr>
        <w:numPr>
          <w:ilvl w:val="0"/>
          <w:numId w:val="12"/>
        </w:num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رفع وعي المستثمرين بمخاطر الغسل الأخضر</w:t>
      </w:r>
      <w:r w:rsidRPr="0089215B">
        <w:rPr>
          <w:rFonts w:ascii="Simplified Arabic" w:eastAsia="Times New Roman" w:hAnsi="Simplified Arabic" w:cs="Simplified Arabic"/>
          <w:kern w:val="0"/>
          <w:sz w:val="26"/>
          <w:szCs w:val="26"/>
          <w:rtl/>
          <w14:ligatures w14:val="none"/>
        </w:rPr>
        <w:t xml:space="preserve"> من خلال برامج توعية ودورات تدريبية تمكنهم من التمييز بين الإفصاحات الجوهرية والإفصاحات الرمزية</w:t>
      </w:r>
      <w:r w:rsidRPr="0089215B">
        <w:rPr>
          <w:rFonts w:ascii="Simplified Arabic" w:eastAsia="Times New Roman" w:hAnsi="Simplified Arabic" w:cs="Simplified Arabic"/>
          <w:kern w:val="0"/>
          <w:sz w:val="26"/>
          <w:szCs w:val="26"/>
          <w14:ligatures w14:val="none"/>
        </w:rPr>
        <w:t>.</w:t>
      </w:r>
    </w:p>
    <w:p w14:paraId="35B40473" w14:textId="77777777" w:rsidR="0089215B" w:rsidRPr="0089215B" w:rsidRDefault="0089215B" w:rsidP="0089215B">
      <w:pPr>
        <w:numPr>
          <w:ilvl w:val="0"/>
          <w:numId w:val="12"/>
        </w:numPr>
        <w:bidi/>
        <w:spacing w:before="100" w:beforeAutospacing="1" w:after="100" w:afterAutospacing="1" w:line="276" w:lineRule="auto"/>
        <w:jc w:val="both"/>
        <w:rPr>
          <w:rFonts w:ascii="Simplified Arabic" w:eastAsia="Times New Roman" w:hAnsi="Simplified Arabic" w:cs="Simplified Arabic"/>
          <w:kern w:val="0"/>
          <w:sz w:val="26"/>
          <w:szCs w:val="26"/>
          <w14:ligatures w14:val="none"/>
        </w:rPr>
      </w:pPr>
      <w:r w:rsidRPr="0089215B">
        <w:rPr>
          <w:rFonts w:ascii="Simplified Arabic" w:eastAsia="Times New Roman" w:hAnsi="Simplified Arabic" w:cs="Simplified Arabic"/>
          <w:b/>
          <w:bCs/>
          <w:kern w:val="0"/>
          <w:sz w:val="26"/>
          <w:szCs w:val="26"/>
          <w:rtl/>
          <w14:ligatures w14:val="none"/>
        </w:rPr>
        <w:t>دعم إنشاء وكالات محلية لتقييم</w:t>
      </w:r>
      <w:r w:rsidRPr="0089215B">
        <w:rPr>
          <w:rFonts w:ascii="Simplified Arabic" w:eastAsia="Times New Roman" w:hAnsi="Simplified Arabic" w:cs="Simplified Arabic"/>
          <w:b/>
          <w:bCs/>
          <w:kern w:val="0"/>
          <w:sz w:val="26"/>
          <w:szCs w:val="26"/>
          <w14:ligatures w14:val="none"/>
        </w:rPr>
        <w:t xml:space="preserve"> ESG</w:t>
      </w:r>
      <w:r w:rsidRPr="0089215B">
        <w:rPr>
          <w:rFonts w:ascii="Simplified Arabic" w:eastAsia="Times New Roman" w:hAnsi="Simplified Arabic" w:cs="Simplified Arabic"/>
          <w:kern w:val="0"/>
          <w:sz w:val="26"/>
          <w:szCs w:val="26"/>
          <w14:ligatures w14:val="none"/>
        </w:rPr>
        <w:t xml:space="preserve"> </w:t>
      </w:r>
      <w:r w:rsidRPr="0089215B">
        <w:rPr>
          <w:rFonts w:ascii="Simplified Arabic" w:eastAsia="Times New Roman" w:hAnsi="Simplified Arabic" w:cs="Simplified Arabic"/>
          <w:kern w:val="0"/>
          <w:sz w:val="26"/>
          <w:szCs w:val="26"/>
          <w:rtl/>
          <w14:ligatures w14:val="none"/>
        </w:rPr>
        <w:t>بما يعزز قدرة السوق على تقييم الأداء البيئي والاجتماعي الحقيقي للشركات بدلاً من الاعتماد على وكالات خارجية قد لا تراعي خصوصية السياق المحلي</w:t>
      </w:r>
      <w:r w:rsidRPr="0089215B">
        <w:rPr>
          <w:rFonts w:ascii="Simplified Arabic" w:eastAsia="Times New Roman" w:hAnsi="Simplified Arabic" w:cs="Simplified Arabic"/>
          <w:kern w:val="0"/>
          <w:sz w:val="26"/>
          <w:szCs w:val="26"/>
          <w14:ligatures w14:val="none"/>
        </w:rPr>
        <w:t>.</w:t>
      </w:r>
    </w:p>
    <w:p w14:paraId="561B7F20" w14:textId="77777777" w:rsidR="0089215B" w:rsidRPr="0089215B" w:rsidRDefault="0089215B" w:rsidP="0089215B">
      <w:pPr>
        <w:bidi/>
        <w:spacing w:after="200" w:line="276" w:lineRule="auto"/>
        <w:jc w:val="both"/>
        <w:rPr>
          <w:rFonts w:asciiTheme="majorBidi" w:eastAsiaTheme="minorEastAsia" w:hAnsiTheme="majorBidi" w:cstheme="majorBidi"/>
          <w:kern w:val="0"/>
          <w:sz w:val="26"/>
          <w:szCs w:val="26"/>
          <w14:ligatures w14:val="none"/>
        </w:rPr>
      </w:pPr>
    </w:p>
    <w:p w14:paraId="77E8D62C" w14:textId="77777777" w:rsidR="0089215B" w:rsidRPr="0089215B" w:rsidRDefault="0089215B" w:rsidP="0089215B">
      <w:pPr>
        <w:spacing w:after="200" w:line="276" w:lineRule="auto"/>
        <w:rPr>
          <w:rFonts w:asciiTheme="majorBidi" w:eastAsiaTheme="minorEastAsia" w:hAnsiTheme="majorBidi" w:cstheme="majorBidi"/>
          <w:kern w:val="0"/>
          <w:sz w:val="26"/>
          <w:szCs w:val="26"/>
          <w14:ligatures w14:val="none"/>
        </w:rPr>
      </w:pPr>
    </w:p>
    <w:p w14:paraId="3A6D573D" w14:textId="77777777" w:rsidR="0089215B" w:rsidRPr="0089215B" w:rsidRDefault="0089215B" w:rsidP="0089215B">
      <w:pPr>
        <w:spacing w:after="200" w:line="276" w:lineRule="auto"/>
        <w:rPr>
          <w:rFonts w:asciiTheme="majorBidi" w:eastAsiaTheme="minorEastAsia" w:hAnsiTheme="majorBidi" w:cstheme="majorBidi"/>
          <w:kern w:val="0"/>
          <w:sz w:val="26"/>
          <w:szCs w:val="26"/>
          <w14:ligatures w14:val="none"/>
        </w:rPr>
      </w:pPr>
    </w:p>
    <w:p w14:paraId="2D3E8F06" w14:textId="77777777" w:rsidR="0089215B" w:rsidRPr="0089215B" w:rsidRDefault="0089215B" w:rsidP="0089215B">
      <w:pPr>
        <w:bidi/>
        <w:spacing w:after="0" w:line="276" w:lineRule="auto"/>
        <w:jc w:val="both"/>
        <w:rPr>
          <w:rFonts w:asciiTheme="majorBidi" w:eastAsia="Times New Roman" w:hAnsiTheme="majorBidi" w:cstheme="majorBidi"/>
          <w:color w:val="000000" w:themeColor="text1"/>
          <w:kern w:val="0"/>
          <w:sz w:val="26"/>
          <w:szCs w:val="26"/>
          <w:lang w:bidi="ar-EG"/>
          <w14:ligatures w14:val="none"/>
        </w:rPr>
      </w:pPr>
    </w:p>
    <w:p w14:paraId="5401A634" w14:textId="77777777" w:rsidR="0089215B" w:rsidRPr="0089215B" w:rsidRDefault="0089215B" w:rsidP="0089215B">
      <w:pPr>
        <w:spacing w:before="100" w:beforeAutospacing="1" w:after="100" w:afterAutospacing="1" w:line="276" w:lineRule="auto"/>
        <w:jc w:val="both"/>
        <w:rPr>
          <w:rFonts w:asciiTheme="majorBidi" w:eastAsia="Times New Roman" w:hAnsiTheme="majorBidi" w:cstheme="majorBidi"/>
          <w:color w:val="000000" w:themeColor="text1"/>
          <w:kern w:val="0"/>
          <w:sz w:val="25"/>
          <w:szCs w:val="25"/>
          <w14:ligatures w14:val="none"/>
        </w:rPr>
      </w:pPr>
    </w:p>
    <w:p w14:paraId="5E520E9A" w14:textId="77777777" w:rsidR="0089215B" w:rsidRPr="0089215B" w:rsidRDefault="0089215B" w:rsidP="0089215B">
      <w:pPr>
        <w:tabs>
          <w:tab w:val="left" w:pos="720"/>
        </w:tabs>
        <w:spacing w:after="0" w:line="276" w:lineRule="auto"/>
        <w:jc w:val="both"/>
        <w:rPr>
          <w:rFonts w:asciiTheme="majorBidi" w:eastAsia="Times New Roman" w:hAnsiTheme="majorBidi" w:cstheme="majorBidi"/>
          <w:kern w:val="0"/>
          <w:sz w:val="25"/>
          <w:szCs w:val="25"/>
          <w14:ligatures w14:val="none"/>
        </w:rPr>
      </w:pPr>
    </w:p>
    <w:p w14:paraId="0D071180" w14:textId="77777777" w:rsidR="0089215B" w:rsidRPr="0089215B" w:rsidRDefault="0089215B" w:rsidP="0089215B">
      <w:pPr>
        <w:spacing w:after="0" w:line="276" w:lineRule="auto"/>
        <w:jc w:val="both"/>
        <w:rPr>
          <w:rFonts w:asciiTheme="majorBidi" w:eastAsia="Times New Roman" w:hAnsiTheme="majorBidi" w:cstheme="majorBidi"/>
          <w:color w:val="000000" w:themeColor="text1"/>
          <w:kern w:val="0"/>
          <w:sz w:val="26"/>
          <w:szCs w:val="26"/>
          <w:lang w:bidi="ar-EG"/>
          <w14:ligatures w14:val="none"/>
        </w:rPr>
      </w:pPr>
    </w:p>
    <w:p w14:paraId="63371006" w14:textId="77777777" w:rsidR="0089215B" w:rsidRPr="0089215B" w:rsidRDefault="0089215B" w:rsidP="0089215B">
      <w:pPr>
        <w:spacing w:after="0" w:line="276" w:lineRule="auto"/>
        <w:jc w:val="both"/>
        <w:rPr>
          <w:rFonts w:ascii="Times New Roman" w:eastAsia="Times New Roman" w:hAnsi="Times New Roman" w:cs="Times New Roman"/>
          <w:kern w:val="0"/>
          <w:sz w:val="25"/>
          <w:szCs w:val="25"/>
          <w14:ligatures w14:val="none"/>
        </w:rPr>
      </w:pPr>
    </w:p>
    <w:p w14:paraId="526E9CAE" w14:textId="77777777" w:rsidR="0089215B" w:rsidRPr="0089215B" w:rsidRDefault="0089215B" w:rsidP="0089215B">
      <w:pPr>
        <w:spacing w:after="0" w:line="240" w:lineRule="auto"/>
        <w:rPr>
          <w:rFonts w:ascii="Times New Roman" w:eastAsia="Times New Roman" w:hAnsi="Times New Roman" w:cs="Times New Roman"/>
          <w:kern w:val="0"/>
          <w14:ligatures w14:val="none"/>
        </w:rPr>
      </w:pPr>
    </w:p>
    <w:p w14:paraId="07BC457E" w14:textId="77777777" w:rsidR="004D327C" w:rsidRDefault="004D327C"/>
    <w:sectPr w:rsidR="004D32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D1AD" w14:textId="77777777" w:rsidR="00BC6D06" w:rsidRDefault="00BC6D06" w:rsidP="0089215B">
      <w:pPr>
        <w:spacing w:after="0" w:line="240" w:lineRule="auto"/>
      </w:pPr>
      <w:r>
        <w:separator/>
      </w:r>
    </w:p>
  </w:endnote>
  <w:endnote w:type="continuationSeparator" w:id="0">
    <w:p w14:paraId="6F9D2916" w14:textId="77777777" w:rsidR="00BC6D06" w:rsidRDefault="00BC6D06" w:rsidP="0089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6721"/>
      <w:docPartObj>
        <w:docPartGallery w:val="Page Numbers (Bottom of Page)"/>
        <w:docPartUnique/>
      </w:docPartObj>
    </w:sdtPr>
    <w:sdtEndPr>
      <w:rPr>
        <w:noProof/>
      </w:rPr>
    </w:sdtEndPr>
    <w:sdtContent>
      <w:p w14:paraId="5FC3FF5A" w14:textId="427BC0A7" w:rsidR="0089215B" w:rsidRDefault="00892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53A21" w14:textId="77777777" w:rsidR="0089215B" w:rsidRDefault="0089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A5B7" w14:textId="77777777" w:rsidR="00BC6D06" w:rsidRDefault="00BC6D06" w:rsidP="0089215B">
      <w:pPr>
        <w:spacing w:after="0" w:line="240" w:lineRule="auto"/>
      </w:pPr>
      <w:r>
        <w:separator/>
      </w:r>
    </w:p>
  </w:footnote>
  <w:footnote w:type="continuationSeparator" w:id="0">
    <w:p w14:paraId="472E76E8" w14:textId="77777777" w:rsidR="00BC6D06" w:rsidRDefault="00BC6D06" w:rsidP="00892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D16"/>
    <w:multiLevelType w:val="hybridMultilevel"/>
    <w:tmpl w:val="7F9C1D64"/>
    <w:lvl w:ilvl="0" w:tplc="FC0E5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3676"/>
    <w:multiLevelType w:val="hybridMultilevel"/>
    <w:tmpl w:val="9D58DDC4"/>
    <w:lvl w:ilvl="0" w:tplc="2EC6EF00">
      <w:start w:val="6"/>
      <w:numFmt w:val="bullet"/>
      <w:lvlText w:val=""/>
      <w:lvlJc w:val="left"/>
      <w:pPr>
        <w:ind w:left="720" w:hanging="360"/>
      </w:pPr>
      <w:rPr>
        <w:rFonts w:ascii="Wingdings" w:eastAsiaTheme="minorHAns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BCE"/>
    <w:multiLevelType w:val="hybridMultilevel"/>
    <w:tmpl w:val="943AF3DA"/>
    <w:lvl w:ilvl="0" w:tplc="FD149470">
      <w:numFmt w:val="bullet"/>
      <w:lvlText w:val="-"/>
      <w:lvlJc w:val="left"/>
      <w:pPr>
        <w:ind w:left="1440" w:hanging="360"/>
      </w:pPr>
      <w:rPr>
        <w:rFonts w:ascii="Times New Roman" w:eastAsia="Calibri" w:hAnsi="Times New Roman"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D45FA4"/>
    <w:multiLevelType w:val="hybridMultilevel"/>
    <w:tmpl w:val="A588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C65B7"/>
    <w:multiLevelType w:val="hybridMultilevel"/>
    <w:tmpl w:val="12D6194C"/>
    <w:lvl w:ilvl="0" w:tplc="B8785B68">
      <w:start w:val="6"/>
      <w:numFmt w:val="bullet"/>
      <w:lvlText w:val=""/>
      <w:lvlJc w:val="left"/>
      <w:pPr>
        <w:ind w:left="720" w:hanging="360"/>
      </w:pPr>
      <w:rPr>
        <w:rFonts w:ascii="Wingdings" w:eastAsiaTheme="minorHAnsi" w:hAnsi="Wingdings" w:cs="Simplified Arabic"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C14BF"/>
    <w:multiLevelType w:val="multilevel"/>
    <w:tmpl w:val="4F3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74B70"/>
    <w:multiLevelType w:val="multilevel"/>
    <w:tmpl w:val="81E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55824"/>
    <w:multiLevelType w:val="multilevel"/>
    <w:tmpl w:val="5AFCE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04862"/>
    <w:multiLevelType w:val="multilevel"/>
    <w:tmpl w:val="3FB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55D90"/>
    <w:multiLevelType w:val="hybridMultilevel"/>
    <w:tmpl w:val="083C524A"/>
    <w:lvl w:ilvl="0" w:tplc="FD149470">
      <w:numFmt w:val="bullet"/>
      <w:lvlText w:val="-"/>
      <w:lvlJc w:val="left"/>
      <w:pPr>
        <w:ind w:left="720" w:hanging="360"/>
      </w:pPr>
      <w:rPr>
        <w:rFonts w:ascii="Times New Roman" w:eastAsia="Calibri"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55023C"/>
    <w:multiLevelType w:val="hybridMultilevel"/>
    <w:tmpl w:val="E6AA9326"/>
    <w:lvl w:ilvl="0" w:tplc="FD288522">
      <w:start w:val="1"/>
      <w:numFmt w:val="decimalFullWidth"/>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83933"/>
    <w:multiLevelType w:val="multilevel"/>
    <w:tmpl w:val="203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0783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467731">
    <w:abstractNumId w:val="2"/>
  </w:num>
  <w:num w:numId="3" w16cid:durableId="1737780862">
    <w:abstractNumId w:val="3"/>
  </w:num>
  <w:num w:numId="4" w16cid:durableId="1712074240">
    <w:abstractNumId w:val="7"/>
  </w:num>
  <w:num w:numId="5" w16cid:durableId="1742950166">
    <w:abstractNumId w:val="11"/>
  </w:num>
  <w:num w:numId="6" w16cid:durableId="2068799765">
    <w:abstractNumId w:val="8"/>
  </w:num>
  <w:num w:numId="7" w16cid:durableId="4017743">
    <w:abstractNumId w:val="4"/>
  </w:num>
  <w:num w:numId="8" w16cid:durableId="809707095">
    <w:abstractNumId w:val="0"/>
  </w:num>
  <w:num w:numId="9" w16cid:durableId="226456200">
    <w:abstractNumId w:val="1"/>
  </w:num>
  <w:num w:numId="10" w16cid:durableId="1942107782">
    <w:abstractNumId w:val="10"/>
  </w:num>
  <w:num w:numId="11" w16cid:durableId="1634873085">
    <w:abstractNumId w:val="6"/>
  </w:num>
  <w:num w:numId="12" w16cid:durableId="174360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5B"/>
    <w:rsid w:val="001C3A63"/>
    <w:rsid w:val="00366E84"/>
    <w:rsid w:val="004D327C"/>
    <w:rsid w:val="005E6307"/>
    <w:rsid w:val="0089215B"/>
    <w:rsid w:val="008D1458"/>
    <w:rsid w:val="00AE370B"/>
    <w:rsid w:val="00BC6D06"/>
    <w:rsid w:val="00D97121"/>
    <w:rsid w:val="00E13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C8A4"/>
  <w15:chartTrackingRefBased/>
  <w15:docId w15:val="{E805FA2A-766F-42F0-9105-FC2503B9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2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2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2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2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5B"/>
    <w:rPr>
      <w:rFonts w:eastAsiaTheme="majorEastAsia" w:cstheme="majorBidi"/>
      <w:color w:val="272727" w:themeColor="text1" w:themeTint="D8"/>
    </w:rPr>
  </w:style>
  <w:style w:type="paragraph" w:styleId="Title">
    <w:name w:val="Title"/>
    <w:basedOn w:val="Normal"/>
    <w:next w:val="Normal"/>
    <w:link w:val="TitleChar"/>
    <w:uiPriority w:val="10"/>
    <w:qFormat/>
    <w:rsid w:val="0089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5B"/>
    <w:pPr>
      <w:spacing w:before="160"/>
      <w:jc w:val="center"/>
    </w:pPr>
    <w:rPr>
      <w:i/>
      <w:iCs/>
      <w:color w:val="404040" w:themeColor="text1" w:themeTint="BF"/>
    </w:rPr>
  </w:style>
  <w:style w:type="character" w:customStyle="1" w:styleId="QuoteChar">
    <w:name w:val="Quote Char"/>
    <w:basedOn w:val="DefaultParagraphFont"/>
    <w:link w:val="Quote"/>
    <w:uiPriority w:val="29"/>
    <w:rsid w:val="0089215B"/>
    <w:rPr>
      <w:i/>
      <w:iCs/>
      <w:color w:val="404040" w:themeColor="text1" w:themeTint="BF"/>
    </w:rPr>
  </w:style>
  <w:style w:type="paragraph" w:styleId="ListParagraph">
    <w:name w:val="List Paragraph"/>
    <w:basedOn w:val="Normal"/>
    <w:uiPriority w:val="34"/>
    <w:qFormat/>
    <w:rsid w:val="0089215B"/>
    <w:pPr>
      <w:ind w:left="720"/>
      <w:contextualSpacing/>
    </w:pPr>
  </w:style>
  <w:style w:type="character" w:styleId="IntenseEmphasis">
    <w:name w:val="Intense Emphasis"/>
    <w:basedOn w:val="DefaultParagraphFont"/>
    <w:uiPriority w:val="21"/>
    <w:qFormat/>
    <w:rsid w:val="0089215B"/>
    <w:rPr>
      <w:i/>
      <w:iCs/>
      <w:color w:val="2F5496" w:themeColor="accent1" w:themeShade="BF"/>
    </w:rPr>
  </w:style>
  <w:style w:type="paragraph" w:styleId="IntenseQuote">
    <w:name w:val="Intense Quote"/>
    <w:basedOn w:val="Normal"/>
    <w:next w:val="Normal"/>
    <w:link w:val="IntenseQuoteChar"/>
    <w:uiPriority w:val="30"/>
    <w:qFormat/>
    <w:rsid w:val="00892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15B"/>
    <w:rPr>
      <w:i/>
      <w:iCs/>
      <w:color w:val="2F5496" w:themeColor="accent1" w:themeShade="BF"/>
    </w:rPr>
  </w:style>
  <w:style w:type="character" w:styleId="IntenseReference">
    <w:name w:val="Intense Reference"/>
    <w:basedOn w:val="DefaultParagraphFont"/>
    <w:uiPriority w:val="32"/>
    <w:qFormat/>
    <w:rsid w:val="0089215B"/>
    <w:rPr>
      <w:b/>
      <w:bCs/>
      <w:smallCaps/>
      <w:color w:val="2F5496" w:themeColor="accent1" w:themeShade="BF"/>
      <w:spacing w:val="5"/>
    </w:rPr>
  </w:style>
  <w:style w:type="table" w:styleId="TableGrid">
    <w:name w:val="Table Grid"/>
    <w:basedOn w:val="TableNormal"/>
    <w:uiPriority w:val="39"/>
    <w:rsid w:val="0089215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5B"/>
  </w:style>
  <w:style w:type="paragraph" w:styleId="Footer">
    <w:name w:val="footer"/>
    <w:basedOn w:val="Normal"/>
    <w:link w:val="FooterChar"/>
    <w:uiPriority w:val="99"/>
    <w:unhideWhenUsed/>
    <w:rsid w:val="0089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dc:creator>
  <cp:keywords/>
  <dc:description/>
  <cp:lastModifiedBy>Shereen</cp:lastModifiedBy>
  <cp:revision>2</cp:revision>
  <dcterms:created xsi:type="dcterms:W3CDTF">2025-12-02T15:34:00Z</dcterms:created>
  <dcterms:modified xsi:type="dcterms:W3CDTF">2025-12-02T15:45:00Z</dcterms:modified>
</cp:coreProperties>
</file>